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C3" w:rsidRPr="0064647D" w:rsidRDefault="003A45C3" w:rsidP="003A45C3">
      <w:pPr>
        <w:pStyle w:val="Standarduser"/>
        <w:spacing w:line="276" w:lineRule="auto"/>
        <w:jc w:val="right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64647D">
        <w:rPr>
          <w:rFonts w:ascii="Times New Roman" w:hAnsi="Times New Roman" w:cs="Times New Roman"/>
          <w:lang w:val="bg-BG"/>
        </w:rPr>
        <w:t xml:space="preserve">  </w:t>
      </w:r>
      <w:r w:rsidRPr="0064647D">
        <w:rPr>
          <w:rFonts w:ascii="Times New Roman" w:hAnsi="Times New Roman" w:cs="Times New Roman"/>
          <w:i/>
          <w:sz w:val="20"/>
          <w:szCs w:val="20"/>
          <w:lang w:val="bg-BG"/>
        </w:rPr>
        <w:t>Приложение № 3 към проект на договор</w:t>
      </w:r>
    </w:p>
    <w:p w:rsidR="003A45C3" w:rsidRPr="0064647D" w:rsidRDefault="003A45C3" w:rsidP="003A45C3">
      <w:pPr>
        <w:pStyle w:val="Standarduser"/>
        <w:spacing w:line="276" w:lineRule="auto"/>
        <w:jc w:val="center"/>
        <w:rPr>
          <w:rFonts w:ascii="Times New Roman" w:hAnsi="Times New Roman" w:cs="Times New Roman"/>
          <w:lang w:val="bg-BG"/>
        </w:rPr>
      </w:pPr>
    </w:p>
    <w:p w:rsidR="003A45C3" w:rsidRPr="0064647D" w:rsidRDefault="003A45C3" w:rsidP="003A45C3">
      <w:pPr>
        <w:pStyle w:val="Heading1"/>
        <w:keepNext/>
        <w:keepLine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ТЕХНИЧЕСКА СПЕЦИФИКАЦИЯ</w:t>
      </w:r>
    </w:p>
    <w:p w:rsidR="003A45C3" w:rsidRPr="0064647D" w:rsidRDefault="003A45C3" w:rsidP="003A45C3">
      <w:pPr>
        <w:pStyle w:val="Heading1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C2E0F" w:rsidRDefault="003A45C3" w:rsidP="00BC2E0F">
      <w:pPr>
        <w:pStyle w:val="a4"/>
        <w:numPr>
          <w:ilvl w:val="0"/>
          <w:numId w:val="2"/>
        </w:numPr>
        <w:tabs>
          <w:tab w:val="left" w:pos="756"/>
        </w:tabs>
        <w:spacing w:line="276" w:lineRule="auto"/>
        <w:ind w:left="100" w:right="121" w:firstLine="360"/>
        <w:jc w:val="both"/>
        <w:rPr>
          <w:sz w:val="24"/>
        </w:rPr>
      </w:pPr>
      <w:r w:rsidRPr="0064647D">
        <w:rPr>
          <w:b/>
          <w:bCs/>
        </w:rPr>
        <w:tab/>
        <w:t>1.</w:t>
      </w:r>
      <w:r w:rsidRPr="0064647D">
        <w:t xml:space="preserve"> Предметът на на</w:t>
      </w:r>
      <w:r w:rsidR="00BC2E0F">
        <w:t xml:space="preserve">стоящата обществена поръчка е: </w:t>
      </w:r>
      <w:r w:rsidR="00BC2E0F">
        <w:rPr>
          <w:sz w:val="24"/>
        </w:rPr>
        <w:t>Доставка на нетна електрическа енергия от изпълнител, координатор на стандартна</w:t>
      </w:r>
      <w:r w:rsidR="00BC2E0F">
        <w:rPr>
          <w:spacing w:val="-57"/>
          <w:sz w:val="24"/>
        </w:rPr>
        <w:t xml:space="preserve"> </w:t>
      </w:r>
      <w:r w:rsidR="00BC2E0F">
        <w:rPr>
          <w:sz w:val="24"/>
        </w:rPr>
        <w:t>балансираща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група,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с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пълно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администриране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на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информационния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поток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с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ЕСО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и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поемане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на</w:t>
      </w:r>
      <w:r w:rsidR="00BC2E0F">
        <w:rPr>
          <w:spacing w:val="1"/>
          <w:sz w:val="24"/>
        </w:rPr>
        <w:t xml:space="preserve"> </w:t>
      </w:r>
      <w:r w:rsidR="00BC2E0F">
        <w:rPr>
          <w:sz w:val="24"/>
        </w:rPr>
        <w:t>разходите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за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небаланси</w:t>
      </w:r>
      <w:r w:rsidR="00BC2E0F">
        <w:rPr>
          <w:spacing w:val="-2"/>
          <w:sz w:val="24"/>
        </w:rPr>
        <w:t xml:space="preserve"> </w:t>
      </w:r>
      <w:r w:rsidR="00BC2E0F">
        <w:rPr>
          <w:sz w:val="24"/>
        </w:rPr>
        <w:t>за</w:t>
      </w:r>
      <w:r w:rsidR="00BC2E0F">
        <w:rPr>
          <w:spacing w:val="-1"/>
          <w:sz w:val="24"/>
        </w:rPr>
        <w:t xml:space="preserve"> </w:t>
      </w:r>
      <w:r w:rsidR="00BC2E0F">
        <w:rPr>
          <w:sz w:val="24"/>
        </w:rPr>
        <w:t>нуждите на</w:t>
      </w:r>
      <w:r w:rsidR="00BC2E0F">
        <w:rPr>
          <w:spacing w:val="1"/>
          <w:sz w:val="24"/>
        </w:rPr>
        <w:t xml:space="preserve"> „СБПЛРВБ Мездра“ ЕООД</w:t>
      </w:r>
    </w:p>
    <w:p w:rsidR="003A45C3" w:rsidRPr="0064647D" w:rsidRDefault="003A45C3" w:rsidP="003A45C3">
      <w:pPr>
        <w:pStyle w:val="Standarduser"/>
        <w:tabs>
          <w:tab w:val="left" w:pos="705"/>
        </w:tabs>
        <w:spacing w:line="276" w:lineRule="auto"/>
        <w:jc w:val="both"/>
        <w:rPr>
          <w:rFonts w:ascii="Times New Roman" w:hAnsi="Times New Roman" w:cs="Times New Roman"/>
        </w:rPr>
      </w:pPr>
      <w:r w:rsidRPr="0064647D">
        <w:rPr>
          <w:rFonts w:ascii="Times New Roman" w:hAnsi="Times New Roman" w:cs="Times New Roman"/>
          <w:lang w:val="bg-BG"/>
        </w:rPr>
        <w:t>.</w:t>
      </w:r>
    </w:p>
    <w:p w:rsidR="003A45C3" w:rsidRPr="0064647D" w:rsidRDefault="003A45C3" w:rsidP="003A45C3">
      <w:pPr>
        <w:pStyle w:val="Standarduser"/>
        <w:spacing w:line="276" w:lineRule="auto"/>
        <w:jc w:val="both"/>
        <w:rPr>
          <w:rFonts w:ascii="Times New Roman" w:hAnsi="Times New Roman" w:cs="Times New Roman"/>
          <w:lang w:val="bg-BG"/>
        </w:rPr>
      </w:pPr>
      <w:r w:rsidRPr="0064647D">
        <w:rPr>
          <w:rFonts w:ascii="Times New Roman" w:hAnsi="Times New Roman" w:cs="Times New Roman"/>
          <w:b/>
          <w:bCs/>
          <w:lang w:val="bg-BG"/>
        </w:rPr>
        <w:tab/>
        <w:t>2.</w:t>
      </w:r>
      <w:r w:rsidRPr="0064647D">
        <w:rPr>
          <w:rFonts w:ascii="Times New Roman" w:hAnsi="Times New Roman" w:cs="Times New Roman"/>
          <w:lang w:val="bg-BG"/>
        </w:rPr>
        <w:t xml:space="preserve"> Място на изпълнени</w:t>
      </w:r>
      <w:r w:rsidR="00C63EAE">
        <w:rPr>
          <w:rFonts w:ascii="Times New Roman" w:hAnsi="Times New Roman" w:cs="Times New Roman"/>
          <w:lang w:val="bg-BG"/>
        </w:rPr>
        <w:t>е – на територията на гр.Мездра- с.Крета на адреса на обекта</w:t>
      </w:r>
      <w:r w:rsidRPr="0064647D">
        <w:rPr>
          <w:rFonts w:ascii="Times New Roman" w:hAnsi="Times New Roman" w:cs="Times New Roman"/>
          <w:lang w:val="bg-BG"/>
        </w:rPr>
        <w:t xml:space="preserve"> на Възложителя</w:t>
      </w:r>
      <w:r w:rsidR="00C63EAE">
        <w:rPr>
          <w:rFonts w:ascii="Times New Roman" w:hAnsi="Times New Roman" w:cs="Times New Roman"/>
          <w:lang w:val="bg-BG"/>
        </w:rPr>
        <w:t>.</w:t>
      </w:r>
    </w:p>
    <w:p w:rsidR="003A45C3" w:rsidRPr="0064647D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Прогнозната стойност на настоящата обществе</w:t>
      </w:r>
      <w:r w:rsidR="00C63EAE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на поръчка е в размер на 49 000 (Четиридесет и девет хиляди лв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) лв. без ДДС.</w:t>
      </w:r>
    </w:p>
    <w:p w:rsidR="003A45C3" w:rsidRPr="0064647D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Срок на договора – 12 /дванадесет/ месеца </w:t>
      </w:r>
    </w:p>
    <w:p w:rsidR="003A45C3" w:rsidRPr="003B277E" w:rsidRDefault="003A45C3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64647D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 Цената, предлагана в ценовите предложения на участниците се определя, както следва: Участниците предлагат </w:t>
      </w:r>
      <w:r w:rsidRPr="0064647D">
        <w:rPr>
          <w:rFonts w:ascii="Times New Roman" w:eastAsia="Calibri" w:hAnsi="Times New Roman" w:cs="Times New Roman"/>
          <w:b w:val="0"/>
          <w:bCs w:val="0"/>
          <w:sz w:val="24"/>
          <w:szCs w:val="24"/>
          <w:lang w:val="bg-BG"/>
        </w:rPr>
        <w:t>размер на фиксирана за целия срок на договора</w:t>
      </w:r>
      <w:r w:rsidR="00C63EAE">
        <w:rPr>
          <w:rFonts w:ascii="Times New Roman" w:eastAsia="Calibri" w:hAnsi="Times New Roman" w:cs="Times New Roman"/>
          <w:b w:val="0"/>
          <w:bCs w:val="0"/>
          <w:sz w:val="24"/>
          <w:szCs w:val="24"/>
          <w:lang w:val="bg-BG"/>
        </w:rPr>
        <w:t xml:space="preserve"> цена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. без ДДС.</w:t>
      </w:r>
      <w:r w:rsidR="003B277E" w:rsidRPr="003B277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Предвид икономическата обстановка в страната и на основание чл.11</w:t>
      </w:r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6 ал.1 т.1 ЗОП цената подлежи </w:t>
      </w:r>
      <w:r w:rsid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на</w:t>
      </w:r>
      <w:bookmarkStart w:id="0" w:name="_GoBack"/>
      <w:bookmarkEnd w:id="0"/>
      <w:r w:rsidR="003B277E" w:rsidRPr="003B277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промяна в зависимост от пазарните цени на ел.енергията.</w:t>
      </w:r>
    </w:p>
    <w:p w:rsidR="003A45C3" w:rsidRPr="0064647D" w:rsidRDefault="003A45C3" w:rsidP="00C63EAE">
      <w:pPr>
        <w:pStyle w:val="Standarduser"/>
        <w:spacing w:line="276" w:lineRule="auto"/>
        <w:jc w:val="both"/>
        <w:rPr>
          <w:rFonts w:ascii="Times New Roman" w:eastAsia="Calibri" w:hAnsi="Times New Roman" w:cs="Times New Roman"/>
          <w:lang w:val="bg-BG"/>
        </w:rPr>
      </w:pPr>
      <w:r w:rsidRPr="0064647D">
        <w:rPr>
          <w:rFonts w:ascii="Times New Roman" w:eastAsia="Calibri" w:hAnsi="Times New Roman" w:cs="Times New Roman"/>
          <w:lang w:val="bg-BG"/>
        </w:rPr>
        <w:tab/>
        <w:t>Участниците следва да посочат стойността в своите ценови предложения с точност до втория знак след десетичната запетая.</w:t>
      </w:r>
    </w:p>
    <w:p w:rsidR="003A45C3" w:rsidRPr="0064647D" w:rsidRDefault="00C63EAE" w:rsidP="003A45C3">
      <w:pPr>
        <w:pStyle w:val="Heading3"/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A45C3"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  <w:r w:rsidR="003A45C3"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Определеният за Изпълнител на поръчката участник е длъжен да: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Продава на Възложителя договорените количества електрическа енергия ниско напрежение в местата на доставка съгласно Правилата за търговия с електрическа енергия (ПТЕЕ);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Извърши за своя сметка, всички необходими действия по регистриране на обектите на Възложителя като краен клиент в свободния пазар на електроенергия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Извърши за своя сметка, всички необходими действия за смяна на координатора на балансираща група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приложимо);</w:t>
      </w:r>
    </w:p>
    <w:p w:rsidR="003A45C3" w:rsidRPr="0064647D" w:rsidRDefault="003A45C3" w:rsidP="003A45C3">
      <w:pPr>
        <w:pStyle w:val="a3"/>
        <w:spacing w:before="0" w:line="276" w:lineRule="auto"/>
        <w:ind w:firstLine="851"/>
        <w:rPr>
          <w:szCs w:val="24"/>
          <w:lang w:val="bg-BG"/>
        </w:rPr>
      </w:pPr>
      <w:r w:rsidRPr="0064647D">
        <w:rPr>
          <w:szCs w:val="24"/>
          <w:lang w:val="bg-BG"/>
        </w:rPr>
        <w:t>- Включи Възложителя като непряк член на своя стандартна балансираща група съгласно ПТЕЕ, без Възложителят да заплаща такса за участие;</w:t>
      </w:r>
    </w:p>
    <w:p w:rsidR="003A45C3" w:rsidRPr="0064647D" w:rsidRDefault="003A45C3" w:rsidP="003A45C3">
      <w:pPr>
        <w:pStyle w:val="Standarduser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64647D">
        <w:rPr>
          <w:rFonts w:ascii="Times New Roman" w:eastAsia="Times New Roman" w:hAnsi="Times New Roman" w:cs="Times New Roman"/>
          <w:lang w:val="bg-BG"/>
        </w:rPr>
        <w:t>- Носи отговорност за балансиране съгласно ПТЕЕ и да поема разходите за небаланси;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Извършва енергиен мониторинг и да изготвя прогнози, регистрира графици, които се известяват (регистрират) на Електроенергийния системен оператор (ЕСО), в които са отразени почасовите дневни нетни количества активна електрическа енергия на ниско напрежение;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Извърши пълно администриране на информационния поток с лицензираните електроразпределителни предприятия (ЕРП) на територията, на която се намират измервателните точки и с ЕСО;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</w:pP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 xml:space="preserve">- Администрира разходите на ВЪЗЛОЖИТЕЛЯ към Оператора на електроразпределителната мрежа за мрежови услуги (достъп до електропреносната 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lastRenderedPageBreak/>
        <w:t>мрежа, пренос на електрическа енергия през електропреносната мрежа, достъп до електроразпределителните мрежи и пренос на електрическа енергия през електроразпределителните мрежи) съгласно чл. 20, ал. 1 от ПТЕЕ.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</w:t>
      </w:r>
      <w:r w:rsidRPr="0064647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bg-BG"/>
        </w:rPr>
        <w:t>П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редоставя на Възложителя възможност да проследява онлайн доставките на електроенергия до обектите му;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 xml:space="preserve">- Сключи след упълномощаване от страна на Възложителя договор за доставка на електрическа енергия с доставчик от последна инстанция, съгласно чл. 15, ал. 5 от ПТЕЕ </w:t>
      </w:r>
      <w:r w:rsidRPr="0064647D">
        <w:rPr>
          <w:rFonts w:ascii="Times New Roman" w:eastAsia="Times New Roman" w:hAnsi="Times New Roman" w:cs="Times New Roman"/>
          <w:b w:val="0"/>
          <w:bCs w:val="0"/>
          <w:i/>
          <w:iCs/>
          <w:sz w:val="24"/>
          <w:szCs w:val="24"/>
          <w:lang w:val="bg-BG"/>
        </w:rPr>
        <w:t>(в случай, че е приложимо)</w:t>
      </w: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, като разходите за сключването му са за сметка на Изпълнителя;</w:t>
      </w:r>
    </w:p>
    <w:p w:rsidR="003A45C3" w:rsidRPr="0064647D" w:rsidRDefault="003A45C3" w:rsidP="003A45C3">
      <w:pPr>
        <w:pStyle w:val="Heading3"/>
        <w:spacing w:before="0" w:line="276" w:lineRule="auto"/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- Спазва разпоредбите и правилата, заложени в Закона за енергетика, Закона за енергийната ефективност, ПТЕЕ, Правилата за измерване на количеството електрическа енергия, другите подзаконови нормативни актове в областта на енергетиката, разпорежданията на оператор на електропреносната мрежа;</w:t>
      </w:r>
    </w:p>
    <w:p w:rsidR="003A45C3" w:rsidRPr="0064647D" w:rsidRDefault="00C63EAE" w:rsidP="005756A0">
      <w:pPr>
        <w:pStyle w:val="Heading3"/>
        <w:tabs>
          <w:tab w:val="left" w:pos="855"/>
        </w:tabs>
        <w:spacing w:before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A45C3" w:rsidRPr="0064647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A45C3" w:rsidRPr="0064647D">
        <w:rPr>
          <w:rFonts w:ascii="Times New Roman" w:hAnsi="Times New Roman" w:cs="Times New Roman"/>
          <w:b w:val="0"/>
          <w:bCs w:val="0"/>
          <w:sz w:val="24"/>
          <w:szCs w:val="24"/>
          <w:lang w:val="bg-BG"/>
        </w:rPr>
        <w:t>За срока на договора Възложителят си запазва правото да включва нови обекти в обхвата на договора и да изключва вече включени такива. Съответната промяна се извършва чрез сключване на допълнителни споразумения, като Възложителят си запазва правото на промяна в прогнозното количество според възникналата необходимост.</w:t>
      </w:r>
    </w:p>
    <w:p w:rsidR="003A45C3" w:rsidRPr="0064647D" w:rsidRDefault="00C63EAE" w:rsidP="003A45C3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bg-BG"/>
        </w:rPr>
        <w:tab/>
        <w:t>8</w:t>
      </w:r>
      <w:r w:rsidR="003A45C3" w:rsidRPr="0064647D">
        <w:rPr>
          <w:rFonts w:ascii="Times New Roman" w:hAnsi="Times New Roman" w:cs="Times New Roman"/>
          <w:b/>
          <w:bCs/>
          <w:lang w:val="bg-BG"/>
        </w:rPr>
        <w:t>.</w:t>
      </w:r>
      <w:r w:rsidR="003A45C3" w:rsidRPr="0064647D">
        <w:rPr>
          <w:rFonts w:ascii="Times New Roman" w:hAnsi="Times New Roman" w:cs="Times New Roman"/>
          <w:lang w:val="bg-BG"/>
        </w:rPr>
        <w:t xml:space="preserve"> Прогнозно количество. Прогнозното количество електриче</w:t>
      </w:r>
      <w:r>
        <w:rPr>
          <w:rFonts w:ascii="Times New Roman" w:hAnsi="Times New Roman" w:cs="Times New Roman"/>
          <w:lang w:val="bg-BG"/>
        </w:rPr>
        <w:t>ска енергия в „СБПЛРВБ Мездра“ ЕООД</w:t>
      </w:r>
      <w:r w:rsidR="003A45C3" w:rsidRPr="0064647D">
        <w:rPr>
          <w:rFonts w:ascii="Times New Roman" w:hAnsi="Times New Roman" w:cs="Times New Roman"/>
          <w:lang w:val="bg-BG"/>
        </w:rPr>
        <w:t xml:space="preserve"> за 12 месеца е </w:t>
      </w:r>
      <w:r w:rsidR="00E14930">
        <w:rPr>
          <w:rFonts w:ascii="Times New Roman" w:eastAsia="Times New Roman" w:hAnsi="Times New Roman" w:cs="Times New Roman"/>
          <w:lang w:val="bg-BG"/>
        </w:rPr>
        <w:t>95,5</w:t>
      </w:r>
      <w:r>
        <w:rPr>
          <w:rFonts w:ascii="Times New Roman" w:eastAsia="Times New Roman" w:hAnsi="Times New Roman" w:cs="Times New Roman"/>
          <w:lang w:val="bg-BG"/>
        </w:rPr>
        <w:t>0 М</w:t>
      </w:r>
      <w:r w:rsidR="003A45C3" w:rsidRPr="00000DD2">
        <w:rPr>
          <w:rFonts w:ascii="Times New Roman" w:eastAsia="Calibri" w:hAnsi="Times New Roman" w:cs="Times New Roman"/>
          <w:bCs/>
          <w:lang w:val="bg-BG"/>
        </w:rPr>
        <w:t>Втч</w:t>
      </w:r>
      <w:r w:rsidR="003A45C3" w:rsidRPr="00000DD2">
        <w:rPr>
          <w:rFonts w:ascii="Times New Roman" w:hAnsi="Times New Roman" w:cs="Times New Roman"/>
          <w:lang w:val="bg-BG"/>
        </w:rPr>
        <w:t>.</w:t>
      </w:r>
      <w:r w:rsidR="003A45C3" w:rsidRPr="0064647D">
        <w:rPr>
          <w:rFonts w:ascii="Times New Roman" w:hAnsi="Times New Roman" w:cs="Times New Roman"/>
          <w:lang w:val="bg-BG"/>
        </w:rPr>
        <w:t xml:space="preserve"> Посоченото количество е ориентировъчно и същото е определено на база консумираното количество електрическа енергия ниско напрежение</w:t>
      </w:r>
      <w:r>
        <w:rPr>
          <w:rFonts w:ascii="Times New Roman" w:hAnsi="Times New Roman" w:cs="Times New Roman"/>
          <w:lang w:val="bg-BG"/>
        </w:rPr>
        <w:t xml:space="preserve"> през предходните 12 месеца</w:t>
      </w:r>
    </w:p>
    <w:p w:rsidR="006A65C1" w:rsidRDefault="006A65C1" w:rsidP="003A45C3">
      <w:pPr>
        <w:pStyle w:val="Standarduser"/>
        <w:spacing w:line="276" w:lineRule="auto"/>
        <w:rPr>
          <w:rFonts w:ascii="Times New Roman" w:hAnsi="Times New Roman" w:cs="Times New Roman"/>
          <w:lang w:val="bg-BG"/>
        </w:rPr>
      </w:pPr>
    </w:p>
    <w:p w:rsidR="003A45C3" w:rsidRPr="00C63EAE" w:rsidRDefault="00C63EAE" w:rsidP="00C63EAE">
      <w:pPr>
        <w:pStyle w:val="Standarduser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b/>
          <w:bCs/>
          <w:lang w:val="bg-BG"/>
        </w:rPr>
      </w:pPr>
      <w:r>
        <w:rPr>
          <w:rFonts w:ascii="Times New Roman" w:eastAsia="Calibri" w:hAnsi="Times New Roman" w:cs="Times New Roman"/>
          <w:b/>
          <w:bCs/>
          <w:lang w:val="bg-BG"/>
        </w:rPr>
        <w:t>Болнична сграда с адрес гр. Мездра, ул.Манастирище 100</w:t>
      </w:r>
    </w:p>
    <w:p w:rsidR="00FA39E7" w:rsidRPr="00F42754" w:rsidRDefault="00FA39E7" w:rsidP="003A45C3">
      <w:pPr>
        <w:pStyle w:val="Standarduser"/>
        <w:spacing w:line="276" w:lineRule="auto"/>
        <w:rPr>
          <w:rFonts w:ascii="Times New Roman" w:eastAsia="Calibri" w:hAnsi="Times New Roman" w:cs="Times New Roman"/>
          <w:b/>
          <w:bCs/>
          <w:lang w:val="bg-BG"/>
        </w:rPr>
      </w:pPr>
    </w:p>
    <w:tbl>
      <w:tblPr>
        <w:tblW w:w="5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"/>
        <w:gridCol w:w="3239"/>
        <w:gridCol w:w="1874"/>
      </w:tblGrid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Отчетен период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A39E7" w:rsidRDefault="003A45C3" w:rsidP="00FA39E7">
            <w:pPr>
              <w:pStyle w:val="Standardus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 xml:space="preserve">Разход в </w:t>
            </w:r>
            <w:r w:rsidR="00C63EAE">
              <w:rPr>
                <w:rFonts w:ascii="Times New Roman" w:eastAsia="Calibri" w:hAnsi="Times New Roman" w:cs="Times New Roman"/>
                <w:bCs/>
                <w:lang w:val="bg-BG"/>
              </w:rPr>
              <w:t>М</w:t>
            </w:r>
            <w:r w:rsidRPr="00F42754">
              <w:rPr>
                <w:rFonts w:ascii="Times New Roman" w:eastAsia="Calibri" w:hAnsi="Times New Roman" w:cs="Times New Roman"/>
                <w:bCs/>
                <w:lang w:val="bg-BG"/>
              </w:rPr>
              <w:t>Втч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01.05.2021 – 31.05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5,461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C63EAE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01.06.2021 – 30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.0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4,829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01.07.2021 – 31.07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4,739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01.08.2021 – 31.08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4,788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01.09.2021 – 30.09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5,374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01.10.2021 – 31.10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11,702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C63EAE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01.11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– 3</w:t>
            </w:r>
            <w:r>
              <w:rPr>
                <w:rFonts w:ascii="Times New Roman" w:hAnsi="Times New Roman" w:cs="Times New Roman"/>
                <w:lang w:val="bg-BG"/>
              </w:rPr>
              <w:t>0.11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10,468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01.12.2021 – 31.12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>.2021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7,556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01.01.2022 – 31.01.2022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10,799</w:t>
            </w:r>
          </w:p>
        </w:tc>
      </w:tr>
      <w:tr w:rsidR="003A45C3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C63EAE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01.02.2022 – 28.02.2022</w:t>
            </w:r>
            <w:r w:rsidR="003A45C3"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B71C24" w:rsidP="003B1644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7,632</w:t>
            </w:r>
          </w:p>
        </w:tc>
      </w:tr>
      <w:tr w:rsidR="001C0745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F42754" w:rsidRDefault="001C0745" w:rsidP="001C0745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01.</w:t>
            </w:r>
            <w:r w:rsidR="00C63EAE">
              <w:rPr>
                <w:rFonts w:ascii="Times New Roman" w:hAnsi="Times New Roman" w:cs="Times New Roman"/>
                <w:lang w:val="bg-BG"/>
              </w:rPr>
              <w:t>03.2022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– </w:t>
            </w:r>
            <w:r w:rsidR="00C63EAE">
              <w:rPr>
                <w:rFonts w:ascii="Times New Roman" w:hAnsi="Times New Roman" w:cs="Times New Roman"/>
              </w:rPr>
              <w:t>3</w:t>
            </w:r>
            <w:r w:rsidR="00C63EAE">
              <w:rPr>
                <w:rFonts w:ascii="Times New Roman" w:hAnsi="Times New Roman" w:cs="Times New Roman"/>
                <w:lang w:val="bg-BG"/>
              </w:rPr>
              <w:t>1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  <w:r w:rsidR="00C63EAE">
              <w:rPr>
                <w:rFonts w:ascii="Times New Roman" w:hAnsi="Times New Roman" w:cs="Times New Roman"/>
                <w:lang w:val="bg-BG"/>
              </w:rPr>
              <w:t>03.2022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8,47</w:t>
            </w:r>
          </w:p>
        </w:tc>
      </w:tr>
      <w:tr w:rsidR="001C0745" w:rsidRPr="00F42754" w:rsidTr="003B1644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1C0745" w:rsidRDefault="001C0745" w:rsidP="003B1644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F42754" w:rsidRDefault="001C0745" w:rsidP="001C0745">
            <w:pPr>
              <w:pStyle w:val="TableContents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42754">
              <w:rPr>
                <w:rFonts w:ascii="Times New Roman" w:hAnsi="Times New Roman" w:cs="Times New Roman"/>
                <w:lang w:val="bg-BG"/>
              </w:rPr>
              <w:t>01.</w:t>
            </w:r>
            <w:r w:rsidR="00C63EAE">
              <w:rPr>
                <w:rFonts w:ascii="Times New Roman" w:hAnsi="Times New Roman" w:cs="Times New Roman"/>
                <w:lang w:val="bg-BG"/>
              </w:rPr>
              <w:t>04.2022 – 30</w:t>
            </w:r>
            <w:r w:rsidRPr="00F42754">
              <w:rPr>
                <w:rFonts w:ascii="Times New Roman" w:hAnsi="Times New Roman" w:cs="Times New Roman"/>
                <w:lang w:val="bg-BG"/>
              </w:rPr>
              <w:t>.</w:t>
            </w:r>
            <w:r w:rsidR="00C63EAE">
              <w:rPr>
                <w:rFonts w:ascii="Times New Roman" w:hAnsi="Times New Roman" w:cs="Times New Roman"/>
                <w:lang w:val="bg-BG"/>
              </w:rPr>
              <w:t>04.2022</w:t>
            </w:r>
            <w:r w:rsidRPr="00F42754">
              <w:rPr>
                <w:rFonts w:ascii="Times New Roman" w:hAnsi="Times New Roman" w:cs="Times New Roman"/>
                <w:lang w:val="bg-BG"/>
              </w:rPr>
              <w:t xml:space="preserve"> г.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1C0745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8,273</w:t>
            </w:r>
          </w:p>
        </w:tc>
      </w:tr>
      <w:tr w:rsidR="003A45C3" w:rsidRPr="00F42754" w:rsidTr="003B1644">
        <w:tc>
          <w:tcPr>
            <w:tcW w:w="3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F42754" w:rsidRDefault="003A45C3" w:rsidP="003B1644">
            <w:pPr>
              <w:pStyle w:val="TableContents"/>
              <w:spacing w:after="160" w:line="276" w:lineRule="auto"/>
              <w:jc w:val="right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F42754">
              <w:rPr>
                <w:rFonts w:ascii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3A45C3" w:rsidRPr="00B71C24" w:rsidRDefault="00B71C24" w:rsidP="00D73E2D">
            <w:pPr>
              <w:pStyle w:val="Standarduser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90,091 Мвтч</w:t>
            </w:r>
          </w:p>
        </w:tc>
      </w:tr>
    </w:tbl>
    <w:p w:rsidR="00000DD2" w:rsidRDefault="00000DD2" w:rsidP="003A45C3">
      <w:pPr>
        <w:pStyle w:val="a3"/>
        <w:spacing w:before="0" w:line="276" w:lineRule="auto"/>
        <w:rPr>
          <w:szCs w:val="24"/>
          <w:lang w:val="bg-BG"/>
        </w:rPr>
      </w:pPr>
    </w:p>
    <w:p w:rsidR="003A45C3" w:rsidRPr="0064647D" w:rsidRDefault="003A45C3" w:rsidP="003A45C3">
      <w:pPr>
        <w:pStyle w:val="a3"/>
        <w:spacing w:before="0" w:line="276" w:lineRule="auto"/>
        <w:rPr>
          <w:szCs w:val="24"/>
          <w:lang w:val="bg-BG"/>
        </w:rPr>
      </w:pPr>
      <w:r w:rsidRPr="0064647D">
        <w:rPr>
          <w:szCs w:val="24"/>
          <w:lang w:val="bg-BG"/>
        </w:rPr>
        <w:t>Посоченото количеството електроенергия е ориентировъчно и служи само за информация за целите на настоящата поръчка и не ангажира Възложителя да го потреби, като доставчикът се задължава да достави нужното количество електроенергия за денонощие, за месец и за целия период на договора.</w:t>
      </w:r>
    </w:p>
    <w:p w:rsidR="003A45C3" w:rsidRPr="0064647D" w:rsidRDefault="003A45C3" w:rsidP="003A45C3">
      <w:pPr>
        <w:pStyle w:val="a3"/>
        <w:spacing w:before="0" w:line="276" w:lineRule="auto"/>
        <w:rPr>
          <w:szCs w:val="24"/>
          <w:lang w:val="bg-BG"/>
        </w:rPr>
      </w:pPr>
      <w:r w:rsidRPr="0064647D">
        <w:rPr>
          <w:szCs w:val="24"/>
          <w:lang w:val="bg-BG"/>
        </w:rPr>
        <w:t>Участниците следва да декларират в Техническото си предложение възможностите и готовността за доставка на цялото прогнозно количество нетна активна електроенергия за срока на действие на договора съгласно документацията на обществената поръчка.</w:t>
      </w:r>
    </w:p>
    <w:p w:rsidR="001C6DEE" w:rsidRPr="0064647D" w:rsidRDefault="00063086">
      <w:pPr>
        <w:rPr>
          <w:rFonts w:ascii="Times New Roman" w:hAnsi="Times New Roman" w:cs="Times New Roman"/>
          <w:szCs w:val="24"/>
        </w:rPr>
      </w:pPr>
    </w:p>
    <w:sectPr w:rsidR="001C6DEE" w:rsidRPr="0064647D" w:rsidSect="005756A0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C9"/>
    <w:multiLevelType w:val="hybridMultilevel"/>
    <w:tmpl w:val="E86899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5C3"/>
    <w:rsid w:val="00000DD2"/>
    <w:rsid w:val="00024ED2"/>
    <w:rsid w:val="00063086"/>
    <w:rsid w:val="00074CB9"/>
    <w:rsid w:val="000816BE"/>
    <w:rsid w:val="001368E9"/>
    <w:rsid w:val="001C0745"/>
    <w:rsid w:val="003A45C3"/>
    <w:rsid w:val="003B277E"/>
    <w:rsid w:val="004B517B"/>
    <w:rsid w:val="00545A0D"/>
    <w:rsid w:val="005756A0"/>
    <w:rsid w:val="005D483B"/>
    <w:rsid w:val="0064647D"/>
    <w:rsid w:val="006A65C1"/>
    <w:rsid w:val="006D37F6"/>
    <w:rsid w:val="0092486A"/>
    <w:rsid w:val="00B71C24"/>
    <w:rsid w:val="00BC2E0F"/>
    <w:rsid w:val="00C63EAE"/>
    <w:rsid w:val="00D45836"/>
    <w:rsid w:val="00D73E2D"/>
    <w:rsid w:val="00E14930"/>
    <w:rsid w:val="00F346DD"/>
    <w:rsid w:val="00F42754"/>
    <w:rsid w:val="00FA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A45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Heading1">
    <w:name w:val="Heading #1"/>
    <w:basedOn w:val="Standarduser"/>
    <w:rsid w:val="003A45C3"/>
    <w:pPr>
      <w:shd w:val="clear" w:color="auto" w:fill="FFFFFF"/>
      <w:spacing w:after="600" w:line="24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38"/>
      <w:szCs w:val="38"/>
    </w:rPr>
  </w:style>
  <w:style w:type="paragraph" w:customStyle="1" w:styleId="Heading3">
    <w:name w:val="Heading #3"/>
    <w:basedOn w:val="Standarduser"/>
    <w:rsid w:val="003A45C3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3">
    <w:name w:val="Обикн. параграф"/>
    <w:basedOn w:val="Standarduser"/>
    <w:rsid w:val="003A45C3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user"/>
    <w:rsid w:val="003A45C3"/>
    <w:pPr>
      <w:suppressLineNumbers/>
    </w:pPr>
  </w:style>
  <w:style w:type="paragraph" w:styleId="a4">
    <w:name w:val="List Paragraph"/>
    <w:basedOn w:val="a"/>
    <w:uiPriority w:val="1"/>
    <w:qFormat/>
    <w:rsid w:val="00BC2E0F"/>
    <w:pPr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DejaVu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3A45C3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</w:rPr>
  </w:style>
  <w:style w:type="paragraph" w:customStyle="1" w:styleId="Heading1">
    <w:name w:val="Heading #1"/>
    <w:basedOn w:val="Standarduser"/>
    <w:rsid w:val="003A45C3"/>
    <w:pPr>
      <w:shd w:val="clear" w:color="auto" w:fill="FFFFFF"/>
      <w:spacing w:after="600" w:line="240" w:lineRule="atLeast"/>
      <w:outlineLvl w:val="0"/>
    </w:pPr>
    <w:rPr>
      <w:rFonts w:ascii="MS Reference Sans Serif" w:eastAsia="MS Reference Sans Serif" w:hAnsi="MS Reference Sans Serif" w:cs="MS Reference Sans Serif"/>
      <w:b/>
      <w:bCs/>
      <w:sz w:val="38"/>
      <w:szCs w:val="38"/>
    </w:rPr>
  </w:style>
  <w:style w:type="paragraph" w:customStyle="1" w:styleId="Heading3">
    <w:name w:val="Heading #3"/>
    <w:basedOn w:val="Standarduser"/>
    <w:rsid w:val="003A45C3"/>
    <w:pPr>
      <w:shd w:val="clear" w:color="auto" w:fill="FFFFFF"/>
      <w:spacing w:before="1080" w:line="235" w:lineRule="exact"/>
      <w:jc w:val="both"/>
      <w:outlineLvl w:val="2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a">
    <w:name w:val="Обикн. параграф"/>
    <w:basedOn w:val="Standarduser"/>
    <w:rsid w:val="003A45C3"/>
    <w:pPr>
      <w:spacing w:before="120" w:line="36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Standarduser"/>
    <w:rsid w:val="003A45C3"/>
    <w:pPr>
      <w:suppressLineNumbers/>
    </w:pPr>
  </w:style>
  <w:style w:type="paragraph" w:styleId="ListParagraph">
    <w:name w:val="List Paragraph"/>
    <w:basedOn w:val="Normal"/>
    <w:uiPriority w:val="1"/>
    <w:qFormat/>
    <w:rsid w:val="00BC2E0F"/>
    <w:pPr>
      <w:suppressAutoHyphens w:val="0"/>
      <w:autoSpaceDE w:val="0"/>
      <w:ind w:left="100" w:firstLine="581"/>
      <w:jc w:val="both"/>
      <w:textAlignment w:val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 Sokolov</dc:creator>
  <cp:lastModifiedBy>Milena</cp:lastModifiedBy>
  <cp:revision>2</cp:revision>
  <dcterms:created xsi:type="dcterms:W3CDTF">2022-07-08T15:21:00Z</dcterms:created>
  <dcterms:modified xsi:type="dcterms:W3CDTF">2022-07-08T15:21:00Z</dcterms:modified>
</cp:coreProperties>
</file>