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85" w:rsidRDefault="003A45C3" w:rsidP="00F23C8C">
      <w:pPr>
        <w:pStyle w:val="Standarduser"/>
        <w:spacing w:line="276" w:lineRule="auto"/>
        <w:jc w:val="both"/>
        <w:rPr>
          <w:rFonts w:ascii="Times New Roman" w:hAnsi="Times New Roman" w:cs="Times New Roman"/>
        </w:rPr>
      </w:pPr>
      <w:r w:rsidRPr="00434AEE">
        <w:rPr>
          <w:rFonts w:ascii="Times New Roman" w:hAnsi="Times New Roman" w:cs="Times New Roman"/>
          <w:lang w:val="bg-BG"/>
        </w:rPr>
        <w:t xml:space="preserve">  </w:t>
      </w:r>
    </w:p>
    <w:p w:rsidR="008C3185" w:rsidRPr="00434AEE" w:rsidRDefault="008C3185" w:rsidP="00F23C8C">
      <w:pPr>
        <w:pStyle w:val="Standarduser"/>
        <w:spacing w:line="276" w:lineRule="auto"/>
        <w:jc w:val="right"/>
        <w:rPr>
          <w:rFonts w:ascii="Times New Roman" w:hAnsi="Times New Roman" w:cs="Times New Roman"/>
          <w:i/>
          <w:lang w:val="bg-BG"/>
        </w:rPr>
      </w:pPr>
      <w:r w:rsidRPr="00434AEE">
        <w:rPr>
          <w:rFonts w:ascii="Times New Roman" w:hAnsi="Times New Roman" w:cs="Times New Roman"/>
          <w:i/>
          <w:lang w:val="bg-BG"/>
        </w:rPr>
        <w:t>Приложение № 3 към проект на договор</w:t>
      </w:r>
    </w:p>
    <w:p w:rsidR="008C3185" w:rsidRPr="00434AEE" w:rsidRDefault="008C3185" w:rsidP="00F23C8C">
      <w:pPr>
        <w:pStyle w:val="Standarduser"/>
        <w:spacing w:line="276" w:lineRule="auto"/>
        <w:jc w:val="both"/>
        <w:rPr>
          <w:rFonts w:ascii="Times New Roman" w:hAnsi="Times New Roman" w:cs="Times New Roman"/>
          <w:lang w:val="bg-BG"/>
        </w:rPr>
      </w:pPr>
    </w:p>
    <w:p w:rsidR="008C3185" w:rsidRPr="00434AEE" w:rsidRDefault="008C3185" w:rsidP="00F23C8C">
      <w:pPr>
        <w:pStyle w:val="Heading1"/>
        <w:keepNext/>
        <w:keepLines/>
        <w:spacing w:after="0" w:line="276" w:lineRule="auto"/>
        <w:jc w:val="center"/>
        <w:rPr>
          <w:rFonts w:ascii="Times New Roman" w:hAnsi="Times New Roman" w:cs="Times New Roman"/>
          <w:sz w:val="24"/>
          <w:szCs w:val="24"/>
          <w:lang w:val="bg-BG"/>
        </w:rPr>
      </w:pPr>
      <w:r w:rsidRPr="00434AEE">
        <w:rPr>
          <w:rFonts w:ascii="Times New Roman" w:hAnsi="Times New Roman" w:cs="Times New Roman"/>
          <w:sz w:val="24"/>
          <w:szCs w:val="24"/>
          <w:lang w:val="bg-BG"/>
        </w:rPr>
        <w:t>ТЕХНИЧЕСКА СПЕЦИФИКАЦИЯ</w:t>
      </w:r>
    </w:p>
    <w:p w:rsidR="003A45C3" w:rsidRPr="00434AEE" w:rsidRDefault="003A45C3" w:rsidP="00F23C8C">
      <w:pPr>
        <w:pStyle w:val="Heading1"/>
        <w:spacing w:after="0" w:line="276" w:lineRule="auto"/>
        <w:jc w:val="both"/>
        <w:rPr>
          <w:rFonts w:ascii="Times New Roman" w:hAnsi="Times New Roman" w:cs="Times New Roman"/>
          <w:sz w:val="24"/>
          <w:szCs w:val="24"/>
          <w:lang w:val="bg-BG"/>
        </w:rPr>
      </w:pPr>
    </w:p>
    <w:p w:rsidR="007D2136" w:rsidRPr="00434AEE" w:rsidRDefault="003A45C3" w:rsidP="00F23C8C">
      <w:pPr>
        <w:pStyle w:val="ListParagraph"/>
        <w:numPr>
          <w:ilvl w:val="0"/>
          <w:numId w:val="5"/>
        </w:numPr>
        <w:tabs>
          <w:tab w:val="left" w:pos="756"/>
        </w:tabs>
        <w:spacing w:line="276" w:lineRule="auto"/>
        <w:ind w:left="0" w:right="121"/>
        <w:rPr>
          <w:sz w:val="24"/>
          <w:szCs w:val="24"/>
        </w:rPr>
      </w:pPr>
      <w:r w:rsidRPr="00434AEE">
        <w:rPr>
          <w:b/>
          <w:sz w:val="24"/>
          <w:szCs w:val="24"/>
        </w:rPr>
        <w:t xml:space="preserve">Предмет на </w:t>
      </w:r>
      <w:r w:rsidR="00BC2E0F" w:rsidRPr="00434AEE">
        <w:rPr>
          <w:b/>
          <w:sz w:val="24"/>
          <w:szCs w:val="24"/>
        </w:rPr>
        <w:t>обществена</w:t>
      </w:r>
      <w:r w:rsidR="00434AEE" w:rsidRPr="00434AEE">
        <w:rPr>
          <w:b/>
          <w:sz w:val="24"/>
          <w:szCs w:val="24"/>
        </w:rPr>
        <w:t>та</w:t>
      </w:r>
      <w:r w:rsidR="00BC2E0F" w:rsidRPr="00434AEE">
        <w:rPr>
          <w:b/>
          <w:sz w:val="24"/>
          <w:szCs w:val="24"/>
        </w:rPr>
        <w:t xml:space="preserve"> поръчка</w:t>
      </w:r>
      <w:r w:rsidR="00BC2E0F" w:rsidRPr="00434AEE">
        <w:rPr>
          <w:sz w:val="24"/>
          <w:szCs w:val="24"/>
        </w:rPr>
        <w:t xml:space="preserve">: </w:t>
      </w:r>
      <w:r w:rsidR="007D2136" w:rsidRPr="00434AEE">
        <w:rPr>
          <w:sz w:val="24"/>
          <w:szCs w:val="24"/>
        </w:rPr>
        <w:t xml:space="preserve">„Доставка на нетна електрическа енергия на ниско напрежение от изпълнител, координатор на стандартна балансираща група, с пълно администриране на информационния поток с ЕСО и поемане на разходите за небаланси за нуждите на „СБПЛРВБ Мездра“ ЕООД </w:t>
      </w:r>
    </w:p>
    <w:p w:rsidR="003A45C3" w:rsidRPr="00434AEE" w:rsidRDefault="003A45C3" w:rsidP="00F23C8C">
      <w:pPr>
        <w:pStyle w:val="ListParagraph"/>
        <w:numPr>
          <w:ilvl w:val="0"/>
          <w:numId w:val="5"/>
        </w:numPr>
        <w:tabs>
          <w:tab w:val="left" w:pos="756"/>
        </w:tabs>
        <w:spacing w:line="276" w:lineRule="auto"/>
        <w:ind w:left="0" w:right="121"/>
        <w:rPr>
          <w:sz w:val="24"/>
          <w:szCs w:val="24"/>
        </w:rPr>
      </w:pPr>
      <w:r w:rsidRPr="008C59DA">
        <w:rPr>
          <w:b/>
          <w:sz w:val="24"/>
          <w:szCs w:val="24"/>
        </w:rPr>
        <w:t>Място на изпълнени</w:t>
      </w:r>
      <w:r w:rsidR="00C63EAE" w:rsidRPr="008C59DA">
        <w:rPr>
          <w:b/>
          <w:sz w:val="24"/>
          <w:szCs w:val="24"/>
        </w:rPr>
        <w:t>е</w:t>
      </w:r>
      <w:r w:rsidR="00C63EAE" w:rsidRPr="00434AEE">
        <w:rPr>
          <w:sz w:val="24"/>
          <w:szCs w:val="24"/>
        </w:rPr>
        <w:t xml:space="preserve"> – </w:t>
      </w:r>
      <w:r w:rsidR="00434AEE" w:rsidRPr="00434AEE">
        <w:rPr>
          <w:sz w:val="24"/>
          <w:szCs w:val="24"/>
        </w:rPr>
        <w:t>Болнична  сграда с адрес гр. Мездра, ул. „Манастирище“ № 100</w:t>
      </w:r>
      <w:r w:rsidR="00C63EAE" w:rsidRPr="00434AEE">
        <w:rPr>
          <w:sz w:val="24"/>
          <w:szCs w:val="24"/>
        </w:rPr>
        <w:t xml:space="preserve"> </w:t>
      </w:r>
    </w:p>
    <w:p w:rsidR="003A45C3" w:rsidRPr="00434AEE" w:rsidRDefault="003A45C3" w:rsidP="00F23C8C">
      <w:pPr>
        <w:pStyle w:val="Heading3"/>
        <w:numPr>
          <w:ilvl w:val="0"/>
          <w:numId w:val="5"/>
        </w:numPr>
        <w:spacing w:before="0" w:line="276" w:lineRule="auto"/>
        <w:ind w:left="0"/>
        <w:rPr>
          <w:rFonts w:ascii="Times New Roman" w:hAnsi="Times New Roman" w:cs="Times New Roman"/>
          <w:b w:val="0"/>
          <w:sz w:val="24"/>
          <w:szCs w:val="24"/>
          <w:lang w:val="bg-BG"/>
        </w:rPr>
      </w:pPr>
      <w:r w:rsidRPr="008C59DA">
        <w:rPr>
          <w:rFonts w:ascii="Times New Roman" w:hAnsi="Times New Roman" w:cs="Times New Roman"/>
          <w:bCs w:val="0"/>
          <w:sz w:val="24"/>
          <w:szCs w:val="24"/>
          <w:lang w:val="bg-BG"/>
        </w:rPr>
        <w:t>Срок на договора</w:t>
      </w:r>
      <w:r w:rsidR="00452DC5">
        <w:rPr>
          <w:rFonts w:ascii="Times New Roman" w:hAnsi="Times New Roman" w:cs="Times New Roman"/>
          <w:b w:val="0"/>
          <w:bCs w:val="0"/>
          <w:sz w:val="24"/>
          <w:szCs w:val="24"/>
          <w:lang w:val="bg-BG"/>
        </w:rPr>
        <w:t xml:space="preserve"> – </w:t>
      </w:r>
      <w:r w:rsidR="000216AF">
        <w:rPr>
          <w:rFonts w:ascii="Times New Roman" w:hAnsi="Times New Roman" w:cs="Times New Roman"/>
          <w:b w:val="0"/>
          <w:bCs w:val="0"/>
          <w:sz w:val="24"/>
          <w:szCs w:val="24"/>
          <w:lang w:val="bg-BG"/>
        </w:rPr>
        <w:t>12/дванадесет</w:t>
      </w:r>
      <w:r w:rsidRPr="00434AEE">
        <w:rPr>
          <w:rFonts w:ascii="Times New Roman" w:hAnsi="Times New Roman" w:cs="Times New Roman"/>
          <w:b w:val="0"/>
          <w:bCs w:val="0"/>
          <w:sz w:val="24"/>
          <w:szCs w:val="24"/>
          <w:lang w:val="bg-BG"/>
        </w:rPr>
        <w:t xml:space="preserve">/ месеца </w:t>
      </w:r>
    </w:p>
    <w:p w:rsidR="008C59DA" w:rsidRPr="00F23C8C" w:rsidRDefault="00434AEE" w:rsidP="00F23C8C">
      <w:pPr>
        <w:pStyle w:val="ListParagraph"/>
        <w:numPr>
          <w:ilvl w:val="0"/>
          <w:numId w:val="5"/>
        </w:numPr>
        <w:spacing w:line="276" w:lineRule="auto"/>
        <w:ind w:left="0"/>
        <w:rPr>
          <w:szCs w:val="24"/>
        </w:rPr>
      </w:pPr>
      <w:r w:rsidRPr="008C59DA">
        <w:rPr>
          <w:b/>
          <w:sz w:val="24"/>
          <w:szCs w:val="24"/>
        </w:rPr>
        <w:t>Прогнозното количество</w:t>
      </w:r>
      <w:r w:rsidRPr="008C59DA">
        <w:rPr>
          <w:sz w:val="24"/>
          <w:szCs w:val="24"/>
        </w:rPr>
        <w:t xml:space="preserve"> електрическа енергия</w:t>
      </w:r>
      <w:r w:rsidR="008C59DA">
        <w:rPr>
          <w:sz w:val="24"/>
          <w:szCs w:val="24"/>
        </w:rPr>
        <w:t xml:space="preserve"> ниско напрежение</w:t>
      </w:r>
      <w:r w:rsidRPr="008C59DA">
        <w:rPr>
          <w:sz w:val="24"/>
          <w:szCs w:val="24"/>
        </w:rPr>
        <w:t xml:space="preserve">, което ще се доставя за срока на договора е определено на база консумираната енергия през последните 12 месеца и възлиза общо на </w:t>
      </w:r>
      <w:r w:rsidR="000216AF">
        <w:rPr>
          <w:b/>
          <w:sz w:val="24"/>
          <w:szCs w:val="24"/>
        </w:rPr>
        <w:t>80</w:t>
      </w:r>
      <w:r w:rsidR="008C59DA">
        <w:rPr>
          <w:b/>
          <w:sz w:val="24"/>
          <w:szCs w:val="24"/>
        </w:rPr>
        <w:t xml:space="preserve"> </w:t>
      </w:r>
      <w:r w:rsidRPr="008C59DA">
        <w:rPr>
          <w:b/>
          <w:sz w:val="24"/>
          <w:szCs w:val="24"/>
        </w:rPr>
        <w:t>МWh</w:t>
      </w:r>
      <w:r w:rsidR="000216AF">
        <w:rPr>
          <w:b/>
          <w:sz w:val="24"/>
          <w:szCs w:val="24"/>
        </w:rPr>
        <w:t xml:space="preserve"> за 12</w:t>
      </w:r>
      <w:bookmarkStart w:id="0" w:name="_GoBack"/>
      <w:bookmarkEnd w:id="0"/>
      <w:r w:rsidR="00E045C8">
        <w:rPr>
          <w:b/>
          <w:sz w:val="24"/>
          <w:szCs w:val="24"/>
        </w:rPr>
        <w:t xml:space="preserve"> месеца</w:t>
      </w:r>
      <w:r w:rsidRPr="008C59DA">
        <w:rPr>
          <w:sz w:val="24"/>
          <w:szCs w:val="24"/>
        </w:rPr>
        <w:t>.</w:t>
      </w:r>
      <w:r w:rsidR="00A04011" w:rsidRPr="00A04011">
        <w:rPr>
          <w:sz w:val="24"/>
          <w:szCs w:val="24"/>
        </w:rPr>
        <w:t xml:space="preserve"> За срока на договора Възложителят си запазва правото на промяна в прогнозното количество в положителна или отрицателна посока според възникналата необходимост, като доставчика се задължава да достави нужното количество електроенергия за денонощие, за месец и за целия период на договора.</w:t>
      </w:r>
      <w:r w:rsidR="00A04011">
        <w:rPr>
          <w:sz w:val="24"/>
          <w:szCs w:val="24"/>
        </w:rPr>
        <w:t xml:space="preserve"> </w:t>
      </w:r>
      <w:r w:rsidRPr="00A04011">
        <w:rPr>
          <w:rFonts w:eastAsia="MS Reference Sans Serif"/>
          <w:bCs/>
          <w:kern w:val="3"/>
          <w:sz w:val="24"/>
          <w:szCs w:val="24"/>
          <w:lang w:eastAsia="zh-CN" w:bidi="hi-IN"/>
        </w:rPr>
        <w:t>Посоченото</w:t>
      </w:r>
      <w:r w:rsidRPr="008C59DA">
        <w:rPr>
          <w:rFonts w:eastAsia="MS Reference Sans Serif"/>
          <w:bCs/>
          <w:kern w:val="3"/>
          <w:sz w:val="24"/>
          <w:szCs w:val="24"/>
          <w:lang w:eastAsia="zh-CN" w:bidi="hi-IN"/>
        </w:rPr>
        <w:t xml:space="preserve"> количество е ориентировъчно като с</w:t>
      </w:r>
      <w:r w:rsidRPr="008C59DA">
        <w:rPr>
          <w:sz w:val="24"/>
          <w:szCs w:val="24"/>
        </w:rPr>
        <w:t>езонното потребление е както следва:</w:t>
      </w:r>
    </w:p>
    <w:p w:rsidR="00F23C8C" w:rsidRPr="008C59DA" w:rsidRDefault="00F23C8C" w:rsidP="00CC5BAA">
      <w:pPr>
        <w:pStyle w:val="ListParagraph"/>
        <w:spacing w:line="276" w:lineRule="auto"/>
        <w:ind w:left="0" w:firstLine="0"/>
        <w:rPr>
          <w:szCs w:val="24"/>
        </w:rPr>
      </w:pPr>
    </w:p>
    <w:p w:rsidR="00023E24" w:rsidRDefault="008C59DA" w:rsidP="00F23C8C">
      <w:pPr>
        <w:spacing w:line="276" w:lineRule="auto"/>
        <w:jc w:val="both"/>
        <w:rPr>
          <w:rFonts w:asciiTheme="minorHAnsi" w:eastAsiaTheme="minorHAnsi" w:hAnsiTheme="minorHAnsi" w:cstheme="minorBidi"/>
          <w:sz w:val="22"/>
        </w:rPr>
      </w:pPr>
      <w:r>
        <w:fldChar w:fldCharType="begin"/>
      </w:r>
      <w:r>
        <w:instrText xml:space="preserve"> LINK </w:instrText>
      </w:r>
      <w:r w:rsidR="00023E24">
        <w:instrText xml:space="preserve">Excel.Sheet.12 "C:\\Users\\USER\\Desktop\\МАЯ СЛУЖЕБНА\\ЗОП\\ел.потребление balanc.xlsx" Лист1!R1C1:R14C3 </w:instrText>
      </w:r>
      <w:r>
        <w:instrText xml:space="preserve">\a \f 4 \h  \* MERGEFORMAT </w:instrText>
      </w:r>
      <w:r>
        <w:fldChar w:fldCharType="separate"/>
      </w:r>
    </w:p>
    <w:tbl>
      <w:tblPr>
        <w:tblW w:w="5101" w:type="dxa"/>
        <w:tblInd w:w="2764" w:type="dxa"/>
        <w:tblCellMar>
          <w:left w:w="70" w:type="dxa"/>
          <w:right w:w="70" w:type="dxa"/>
        </w:tblCellMar>
        <w:tblLook w:val="04A0" w:firstRow="1" w:lastRow="0" w:firstColumn="1" w:lastColumn="0" w:noHBand="0" w:noVBand="1"/>
      </w:tblPr>
      <w:tblGrid>
        <w:gridCol w:w="741"/>
        <w:gridCol w:w="2980"/>
        <w:gridCol w:w="1380"/>
      </w:tblGrid>
      <w:tr w:rsidR="00023E24" w:rsidRPr="00023E24" w:rsidTr="00E045C8">
        <w:trPr>
          <w:divId w:val="656109352"/>
          <w:trHeight w:val="708"/>
        </w:trPr>
        <w:tc>
          <w:tcPr>
            <w:tcW w:w="741" w:type="dxa"/>
            <w:tcBorders>
              <w:top w:val="single" w:sz="8" w:space="0" w:color="000000"/>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w:t>
            </w:r>
          </w:p>
        </w:tc>
        <w:tc>
          <w:tcPr>
            <w:tcW w:w="2980" w:type="dxa"/>
            <w:tcBorders>
              <w:top w:val="single" w:sz="8" w:space="0" w:color="000000"/>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Отчетен период</w:t>
            </w:r>
          </w:p>
        </w:tc>
        <w:tc>
          <w:tcPr>
            <w:tcW w:w="13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Разход в МВтч.</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1</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01.05.2022 – 31.05.2022</w:t>
            </w:r>
            <w:r w:rsidR="00023E24" w:rsidRPr="00E045C8">
              <w:rPr>
                <w:rFonts w:ascii="Times New Roman" w:eastAsia="Times New Roman" w:hAnsi="Times New Roman" w:cs="Times New Roman"/>
                <w:color w:val="000000"/>
                <w:szCs w:val="24"/>
                <w:lang w:eastAsia="bg-BG"/>
              </w:rPr>
              <w:t xml:space="preserve"> г.</w:t>
            </w:r>
          </w:p>
        </w:tc>
        <w:tc>
          <w:tcPr>
            <w:tcW w:w="1380" w:type="dxa"/>
            <w:tcBorders>
              <w:top w:val="nil"/>
              <w:left w:val="single" w:sz="8" w:space="0" w:color="000000"/>
              <w:bottom w:val="single" w:sz="8" w:space="0" w:color="000000"/>
              <w:right w:val="single" w:sz="8" w:space="0" w:color="000000"/>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5,493</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2</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01.06.2022 – 30.06.2022</w:t>
            </w:r>
            <w:r w:rsidR="00023E24" w:rsidRPr="00E045C8">
              <w:rPr>
                <w:rFonts w:ascii="Times New Roman" w:eastAsia="Times New Roman" w:hAnsi="Times New Roman" w:cs="Times New Roman"/>
                <w:color w:val="000000"/>
                <w:szCs w:val="24"/>
                <w:lang w:eastAsia="bg-BG"/>
              </w:rPr>
              <w:t xml:space="preserve">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3,941</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3</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01.07.2022 – 31.07.2022</w:t>
            </w:r>
            <w:r w:rsidR="00023E24" w:rsidRPr="00E045C8">
              <w:rPr>
                <w:rFonts w:ascii="Times New Roman" w:eastAsia="Times New Roman" w:hAnsi="Times New Roman" w:cs="Times New Roman"/>
                <w:color w:val="000000"/>
                <w:szCs w:val="24"/>
                <w:lang w:eastAsia="bg-BG"/>
              </w:rPr>
              <w:t xml:space="preserve">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4,21</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4</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01.08.2022 – 31.08</w:t>
            </w:r>
            <w:r w:rsidR="00023E24" w:rsidRPr="00E045C8">
              <w:rPr>
                <w:rFonts w:ascii="Times New Roman" w:eastAsia="Times New Roman" w:hAnsi="Times New Roman" w:cs="Times New Roman"/>
                <w:color w:val="000000"/>
                <w:szCs w:val="24"/>
                <w:lang w:eastAsia="bg-BG"/>
              </w:rPr>
              <w:t>.2022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4,087</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5</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01.09.2022 – 30.09</w:t>
            </w:r>
            <w:r w:rsidR="00023E24" w:rsidRPr="00E045C8">
              <w:rPr>
                <w:rFonts w:ascii="Times New Roman" w:eastAsia="Times New Roman" w:hAnsi="Times New Roman" w:cs="Times New Roman"/>
                <w:color w:val="000000"/>
                <w:szCs w:val="24"/>
                <w:lang w:eastAsia="bg-BG"/>
              </w:rPr>
              <w:t>.2022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4,916</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6</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01.10.2022 – 31.10</w:t>
            </w:r>
            <w:r w:rsidR="00023E24" w:rsidRPr="00E045C8">
              <w:rPr>
                <w:rFonts w:ascii="Times New Roman" w:eastAsia="Times New Roman" w:hAnsi="Times New Roman" w:cs="Times New Roman"/>
                <w:color w:val="000000"/>
                <w:szCs w:val="24"/>
                <w:lang w:eastAsia="bg-BG"/>
              </w:rPr>
              <w:t>.2022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7,937</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7</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01.11.2022 – 30.11</w:t>
            </w:r>
            <w:r w:rsidR="00023E24" w:rsidRPr="00E045C8">
              <w:rPr>
                <w:rFonts w:ascii="Times New Roman" w:eastAsia="Times New Roman" w:hAnsi="Times New Roman" w:cs="Times New Roman"/>
                <w:color w:val="000000"/>
                <w:szCs w:val="24"/>
                <w:lang w:eastAsia="bg-BG"/>
              </w:rPr>
              <w:t>.2022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7,704</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8</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01.12.2022 – 31.12</w:t>
            </w:r>
            <w:r w:rsidR="00023E24" w:rsidRPr="00E045C8">
              <w:rPr>
                <w:rFonts w:ascii="Times New Roman" w:eastAsia="Times New Roman" w:hAnsi="Times New Roman" w:cs="Times New Roman"/>
                <w:color w:val="000000"/>
                <w:szCs w:val="24"/>
                <w:lang w:eastAsia="bg-BG"/>
              </w:rPr>
              <w:t>.2022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5,361</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9</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01.01.2023 – 31.01.2023</w:t>
            </w:r>
            <w:r w:rsidR="00023E24" w:rsidRPr="00E045C8">
              <w:rPr>
                <w:rFonts w:ascii="Times New Roman" w:eastAsia="Times New Roman" w:hAnsi="Times New Roman" w:cs="Times New Roman"/>
                <w:color w:val="000000"/>
                <w:szCs w:val="24"/>
                <w:lang w:eastAsia="bg-BG"/>
              </w:rPr>
              <w:t xml:space="preserve">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8,722</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10</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01.02.2023 – 28.02.2023</w:t>
            </w:r>
            <w:r w:rsidR="00023E24" w:rsidRPr="00E045C8">
              <w:rPr>
                <w:rFonts w:ascii="Times New Roman" w:eastAsia="Times New Roman" w:hAnsi="Times New Roman" w:cs="Times New Roman"/>
                <w:color w:val="000000"/>
                <w:szCs w:val="24"/>
                <w:lang w:eastAsia="bg-BG"/>
              </w:rPr>
              <w:t xml:space="preserve">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7,735</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11</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01.03.2022 – 31.03.2023</w:t>
            </w:r>
            <w:r w:rsidR="00023E24" w:rsidRPr="00E045C8">
              <w:rPr>
                <w:rFonts w:ascii="Times New Roman" w:eastAsia="Times New Roman" w:hAnsi="Times New Roman" w:cs="Times New Roman"/>
                <w:color w:val="000000"/>
                <w:szCs w:val="24"/>
                <w:lang w:eastAsia="bg-BG"/>
              </w:rPr>
              <w:t xml:space="preserve">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7,399</w:t>
            </w:r>
          </w:p>
        </w:tc>
      </w:tr>
      <w:tr w:rsidR="00023E24" w:rsidRPr="00023E24" w:rsidTr="00E045C8">
        <w:trPr>
          <w:divId w:val="656109352"/>
          <w:trHeight w:val="300"/>
        </w:trPr>
        <w:tc>
          <w:tcPr>
            <w:tcW w:w="741" w:type="dxa"/>
            <w:tcBorders>
              <w:top w:val="nil"/>
              <w:left w:val="single" w:sz="8" w:space="0" w:color="000000"/>
              <w:bottom w:val="single" w:sz="8" w:space="0" w:color="000000"/>
              <w:right w:val="nil"/>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val="en-US" w:eastAsia="bg-BG"/>
              </w:rPr>
              <w:t>12</w:t>
            </w:r>
          </w:p>
        </w:tc>
        <w:tc>
          <w:tcPr>
            <w:tcW w:w="2980" w:type="dxa"/>
            <w:tcBorders>
              <w:top w:val="nil"/>
              <w:left w:val="single" w:sz="8" w:space="0" w:color="000000"/>
              <w:bottom w:val="single" w:sz="8" w:space="0" w:color="000000"/>
              <w:right w:val="nil"/>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01.04.2022 – 30.04</w:t>
            </w:r>
            <w:r w:rsidR="00023E24" w:rsidRPr="00E045C8">
              <w:rPr>
                <w:rFonts w:ascii="Times New Roman" w:eastAsia="Times New Roman" w:hAnsi="Times New Roman" w:cs="Times New Roman"/>
                <w:color w:val="000000"/>
                <w:szCs w:val="24"/>
                <w:lang w:eastAsia="bg-BG"/>
              </w:rPr>
              <w:t>.2022 г.</w:t>
            </w:r>
          </w:p>
        </w:tc>
        <w:tc>
          <w:tcPr>
            <w:tcW w:w="1380" w:type="dxa"/>
            <w:tcBorders>
              <w:top w:val="nil"/>
              <w:left w:val="single" w:sz="8" w:space="0" w:color="000000"/>
              <w:bottom w:val="single" w:sz="8" w:space="0" w:color="000000"/>
              <w:right w:val="single" w:sz="8" w:space="0" w:color="000000"/>
            </w:tcBorders>
            <w:shd w:val="clear" w:color="auto" w:fill="auto"/>
            <w:vAlign w:val="center"/>
          </w:tcPr>
          <w:p w:rsidR="00023E24" w:rsidRPr="00E045C8" w:rsidRDefault="00E045C8" w:rsidP="00023E24">
            <w:pPr>
              <w:widowControl/>
              <w:suppressAutoHyphens w:val="0"/>
              <w:autoSpaceDN/>
              <w:jc w:val="both"/>
              <w:textAlignment w:val="auto"/>
              <w:rPr>
                <w:rFonts w:ascii="Times New Roman" w:eastAsia="Times New Roman" w:hAnsi="Times New Roman" w:cs="Times New Roman"/>
                <w:color w:val="000000"/>
                <w:szCs w:val="24"/>
                <w:lang w:eastAsia="bg-BG"/>
              </w:rPr>
            </w:pPr>
            <w:r w:rsidRPr="00E045C8">
              <w:rPr>
                <w:rFonts w:ascii="Times New Roman" w:eastAsia="Times New Roman" w:hAnsi="Times New Roman" w:cs="Times New Roman"/>
                <w:color w:val="000000"/>
                <w:szCs w:val="24"/>
                <w:lang w:eastAsia="bg-BG"/>
              </w:rPr>
              <w:t>9,623</w:t>
            </w:r>
          </w:p>
        </w:tc>
      </w:tr>
      <w:tr w:rsidR="00023E24" w:rsidRPr="00023E24" w:rsidTr="00E045C8">
        <w:trPr>
          <w:divId w:val="656109352"/>
          <w:trHeight w:val="300"/>
        </w:trPr>
        <w:tc>
          <w:tcPr>
            <w:tcW w:w="37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3E24" w:rsidRPr="00E045C8" w:rsidRDefault="00023E24" w:rsidP="00023E24">
            <w:pPr>
              <w:widowControl/>
              <w:suppressAutoHyphens w:val="0"/>
              <w:autoSpaceDN/>
              <w:jc w:val="both"/>
              <w:textAlignment w:val="auto"/>
              <w:rPr>
                <w:rFonts w:ascii="Times New Roman" w:eastAsia="Times New Roman" w:hAnsi="Times New Roman" w:cs="Times New Roman"/>
                <w:b/>
                <w:bCs/>
                <w:color w:val="000000"/>
                <w:szCs w:val="24"/>
                <w:lang w:eastAsia="bg-BG"/>
              </w:rPr>
            </w:pPr>
            <w:r w:rsidRPr="00E045C8">
              <w:rPr>
                <w:rFonts w:ascii="Times New Roman" w:eastAsia="Times New Roman" w:hAnsi="Times New Roman" w:cs="Times New Roman"/>
                <w:b/>
                <w:bCs/>
                <w:color w:val="000000"/>
                <w:szCs w:val="24"/>
                <w:lang w:eastAsia="bg-BG"/>
              </w:rPr>
              <w:t>Общо:</w:t>
            </w:r>
          </w:p>
        </w:tc>
        <w:tc>
          <w:tcPr>
            <w:tcW w:w="1380" w:type="dxa"/>
            <w:tcBorders>
              <w:top w:val="nil"/>
              <w:left w:val="nil"/>
              <w:bottom w:val="single" w:sz="8" w:space="0" w:color="000000"/>
              <w:right w:val="single" w:sz="8" w:space="0" w:color="000000"/>
            </w:tcBorders>
            <w:shd w:val="clear" w:color="auto" w:fill="auto"/>
            <w:vAlign w:val="center"/>
            <w:hideMark/>
          </w:tcPr>
          <w:p w:rsidR="00023E24" w:rsidRPr="00E045C8" w:rsidRDefault="00E045C8" w:rsidP="00023E24">
            <w:pPr>
              <w:widowControl/>
              <w:suppressAutoHyphens w:val="0"/>
              <w:autoSpaceDN/>
              <w:jc w:val="both"/>
              <w:textAlignment w:val="auto"/>
              <w:rPr>
                <w:rFonts w:ascii="Times New Roman" w:eastAsia="Times New Roman" w:hAnsi="Times New Roman" w:cs="Times New Roman"/>
                <w:b/>
                <w:bCs/>
                <w:color w:val="000000"/>
                <w:szCs w:val="24"/>
                <w:lang w:eastAsia="bg-BG"/>
              </w:rPr>
            </w:pPr>
            <w:r w:rsidRPr="00E045C8">
              <w:rPr>
                <w:rFonts w:ascii="Times New Roman" w:eastAsia="Times New Roman" w:hAnsi="Times New Roman" w:cs="Times New Roman"/>
                <w:b/>
                <w:bCs/>
                <w:color w:val="000000"/>
                <w:szCs w:val="24"/>
                <w:lang w:eastAsia="bg-BG"/>
              </w:rPr>
              <w:t>77,128</w:t>
            </w:r>
          </w:p>
        </w:tc>
      </w:tr>
    </w:tbl>
    <w:p w:rsidR="008C3185" w:rsidRDefault="008C59DA" w:rsidP="00F23C8C">
      <w:pPr>
        <w:spacing w:line="276" w:lineRule="auto"/>
        <w:jc w:val="both"/>
        <w:rPr>
          <w:szCs w:val="24"/>
        </w:rPr>
      </w:pPr>
      <w:r>
        <w:rPr>
          <w:szCs w:val="24"/>
        </w:rPr>
        <w:fldChar w:fldCharType="end"/>
      </w:r>
    </w:p>
    <w:p w:rsidR="00F23C8C" w:rsidRDefault="00F23C8C" w:rsidP="00F23C8C">
      <w:pPr>
        <w:spacing w:line="276" w:lineRule="auto"/>
        <w:jc w:val="both"/>
        <w:rPr>
          <w:szCs w:val="24"/>
        </w:rPr>
      </w:pPr>
    </w:p>
    <w:p w:rsidR="008C3185" w:rsidRPr="008C3185" w:rsidRDefault="008C59DA" w:rsidP="00F23C8C">
      <w:pPr>
        <w:pStyle w:val="Standarduser"/>
        <w:numPr>
          <w:ilvl w:val="0"/>
          <w:numId w:val="5"/>
        </w:numPr>
        <w:spacing w:line="276" w:lineRule="auto"/>
        <w:ind w:left="0"/>
        <w:jc w:val="both"/>
        <w:rPr>
          <w:rFonts w:ascii="Times New Roman" w:eastAsia="Calibri" w:hAnsi="Times New Roman" w:cs="Times New Roman"/>
          <w:b/>
          <w:lang w:val="bg-BG"/>
        </w:rPr>
      </w:pPr>
      <w:r w:rsidRPr="008C3185">
        <w:rPr>
          <w:rFonts w:ascii="Times New Roman" w:eastAsia="Calibri" w:hAnsi="Times New Roman" w:cs="Times New Roman"/>
          <w:b/>
          <w:lang w:val="bg-BG"/>
        </w:rPr>
        <w:t>Изисквания към участниците:</w:t>
      </w:r>
    </w:p>
    <w:p w:rsidR="008C3185" w:rsidRDefault="008C3185" w:rsidP="00F23C8C">
      <w:pPr>
        <w:pStyle w:val="a"/>
        <w:spacing w:before="0" w:line="276" w:lineRule="auto"/>
        <w:ind w:firstLine="851"/>
        <w:rPr>
          <w:szCs w:val="24"/>
          <w:lang w:val="bg-BG"/>
        </w:rPr>
      </w:pPr>
      <w:r w:rsidRPr="008C3185">
        <w:rPr>
          <w:szCs w:val="24"/>
          <w:lang w:val="bg-BG"/>
        </w:rPr>
        <w:t>Участникът в процедурата трябва да е лицензиран като търговец на електрическа енергия и координатор на стандартна балансираща група.</w:t>
      </w:r>
    </w:p>
    <w:p w:rsidR="008C3185" w:rsidRDefault="008C3185" w:rsidP="00F23C8C">
      <w:pPr>
        <w:pStyle w:val="a"/>
        <w:spacing w:before="0" w:line="276" w:lineRule="auto"/>
        <w:ind w:firstLine="851"/>
        <w:rPr>
          <w:szCs w:val="24"/>
          <w:lang w:val="bg-BG"/>
        </w:rPr>
      </w:pPr>
      <w:r w:rsidRPr="008C3185">
        <w:rPr>
          <w:szCs w:val="24"/>
          <w:lang w:val="bg-BG"/>
        </w:rPr>
        <w:t xml:space="preserve">Участникът следва да има възможност за доставки на </w:t>
      </w:r>
      <w:r w:rsidR="000014EE">
        <w:rPr>
          <w:szCs w:val="24"/>
          <w:lang w:val="bg-BG"/>
        </w:rPr>
        <w:t xml:space="preserve">необходимото </w:t>
      </w:r>
      <w:r w:rsidRPr="008C3185">
        <w:rPr>
          <w:szCs w:val="24"/>
          <w:lang w:val="bg-BG"/>
        </w:rPr>
        <w:t>количество електроенергия в необходимите срокове и с необходимото качество.</w:t>
      </w:r>
    </w:p>
    <w:p w:rsidR="00444118" w:rsidRDefault="009E50B3" w:rsidP="00F23C8C">
      <w:pPr>
        <w:pStyle w:val="a"/>
        <w:spacing w:before="0" w:line="276" w:lineRule="auto"/>
        <w:ind w:firstLine="851"/>
        <w:rPr>
          <w:szCs w:val="24"/>
          <w:lang w:val="bg-BG"/>
        </w:rPr>
      </w:pPr>
      <w:r>
        <w:rPr>
          <w:szCs w:val="24"/>
          <w:lang w:val="bg-BG"/>
        </w:rPr>
        <w:t>Участникът</w:t>
      </w:r>
      <w:r w:rsidR="00444118" w:rsidRPr="00444118">
        <w:rPr>
          <w:szCs w:val="24"/>
          <w:lang w:val="bg-BG"/>
        </w:rPr>
        <w:t xml:space="preserve"> трябва да има изградена система за мониторинг на измервателна точка достъпна за Възложителя – ON LINE – копие.</w:t>
      </w:r>
    </w:p>
    <w:p w:rsidR="009E50B3" w:rsidRDefault="001D0ED1" w:rsidP="00F23C8C">
      <w:pPr>
        <w:pStyle w:val="a"/>
        <w:spacing w:before="0" w:line="276" w:lineRule="auto"/>
        <w:ind w:firstLine="851"/>
        <w:rPr>
          <w:szCs w:val="24"/>
          <w:lang w:val="bg-BG"/>
        </w:rPr>
      </w:pPr>
      <w:r>
        <w:rPr>
          <w:szCs w:val="24"/>
          <w:lang w:val="bg-BG"/>
        </w:rPr>
        <w:t xml:space="preserve">Участникът трябва </w:t>
      </w:r>
      <w:r w:rsidRPr="001D0ED1">
        <w:rPr>
          <w:szCs w:val="24"/>
          <w:lang w:val="bg-BG"/>
        </w:rPr>
        <w:t xml:space="preserve">да има сключен рамков договор/ да сключи договор по чл. 11, т. 13 от ПТЕЕ с операторите на електроразпределителни мрежи на територията на гр. Мездра. </w:t>
      </w:r>
    </w:p>
    <w:p w:rsidR="00776F84" w:rsidRDefault="00A04011" w:rsidP="00F23C8C">
      <w:pPr>
        <w:pStyle w:val="a"/>
        <w:spacing w:before="0" w:line="276" w:lineRule="auto"/>
        <w:ind w:firstLine="851"/>
        <w:rPr>
          <w:szCs w:val="24"/>
          <w:lang w:val="bg-BG"/>
        </w:rPr>
      </w:pPr>
      <w:r w:rsidRPr="00A04011">
        <w:rPr>
          <w:szCs w:val="24"/>
          <w:lang w:val="bg-BG"/>
        </w:rPr>
        <w:t>Избраният за изпъ</w:t>
      </w:r>
      <w:r w:rsidR="00776F84">
        <w:rPr>
          <w:szCs w:val="24"/>
          <w:lang w:val="bg-BG"/>
        </w:rPr>
        <w:t>лнител участник се задължава да:</w:t>
      </w:r>
    </w:p>
    <w:p w:rsidR="00BE70B5" w:rsidRDefault="00BE70B5" w:rsidP="00F23C8C">
      <w:pPr>
        <w:pStyle w:val="a"/>
        <w:spacing w:before="0" w:line="276" w:lineRule="auto"/>
        <w:ind w:firstLine="851"/>
        <w:rPr>
          <w:szCs w:val="24"/>
          <w:lang w:val="bg-BG"/>
        </w:rPr>
      </w:pPr>
      <w:r>
        <w:rPr>
          <w:szCs w:val="24"/>
          <w:lang w:val="bg-BG"/>
        </w:rPr>
        <w:lastRenderedPageBreak/>
        <w:t xml:space="preserve">извърши </w:t>
      </w:r>
      <w:r w:rsidRPr="00BE70B5">
        <w:rPr>
          <w:szCs w:val="24"/>
          <w:lang w:val="bg-BG"/>
        </w:rPr>
        <w:t>пълната процедура по регистрация и извеждане на обект</w:t>
      </w:r>
      <w:r>
        <w:rPr>
          <w:szCs w:val="24"/>
          <w:lang w:val="bg-BG"/>
        </w:rPr>
        <w:t>а</w:t>
      </w:r>
      <w:r w:rsidRPr="00BE70B5">
        <w:rPr>
          <w:szCs w:val="24"/>
          <w:lang w:val="bg-BG"/>
        </w:rPr>
        <w:t xml:space="preserve"> на Възложителя на свободния пазар на електроенергия</w:t>
      </w:r>
      <w:r>
        <w:rPr>
          <w:szCs w:val="24"/>
          <w:lang w:val="bg-BG"/>
        </w:rPr>
        <w:t xml:space="preserve"> за своя сметка;</w:t>
      </w:r>
    </w:p>
    <w:p w:rsidR="00A04011" w:rsidRPr="00A04011" w:rsidRDefault="00A04011" w:rsidP="00F23C8C">
      <w:pPr>
        <w:pStyle w:val="a"/>
        <w:spacing w:before="0" w:line="276" w:lineRule="auto"/>
        <w:ind w:firstLine="851"/>
        <w:rPr>
          <w:szCs w:val="24"/>
          <w:lang w:val="bg-BG"/>
        </w:rPr>
      </w:pPr>
      <w:r w:rsidRPr="00A04011">
        <w:rPr>
          <w:szCs w:val="24"/>
          <w:lang w:val="bg-BG"/>
        </w:rPr>
        <w:t>извърш</w:t>
      </w:r>
      <w:r w:rsidR="00BE70B5">
        <w:rPr>
          <w:szCs w:val="24"/>
          <w:lang w:val="bg-BG"/>
        </w:rPr>
        <w:t>ва</w:t>
      </w:r>
      <w:r w:rsidRPr="00A04011">
        <w:rPr>
          <w:szCs w:val="24"/>
          <w:lang w:val="bg-BG"/>
        </w:rPr>
        <w:t xml:space="preserve">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и Електроенергийния системен оператор (ЕСО) и поемане на разходите за небаланси;</w:t>
      </w:r>
    </w:p>
    <w:p w:rsidR="00A04011" w:rsidRPr="00A04011" w:rsidRDefault="00776F84" w:rsidP="00F23C8C">
      <w:pPr>
        <w:pStyle w:val="a"/>
        <w:spacing w:before="0" w:line="276" w:lineRule="auto"/>
        <w:ind w:firstLine="851"/>
        <w:rPr>
          <w:szCs w:val="24"/>
          <w:lang w:val="bg-BG"/>
        </w:rPr>
      </w:pPr>
      <w:r>
        <w:rPr>
          <w:szCs w:val="24"/>
          <w:lang w:val="bg-BG"/>
        </w:rPr>
        <w:t>и</w:t>
      </w:r>
      <w:r w:rsidR="00A04011" w:rsidRPr="00A04011">
        <w:rPr>
          <w:szCs w:val="24"/>
          <w:lang w:val="bg-BG"/>
        </w:rPr>
        <w:t>звършва енергиен мониторинг и изготвяне на прогнози, регистриране на графици, които се известяват (регистрират) в ЕСО, в които са отразени почасовите дневни нетни количества активна електрическа енергия на средно и ниско напрежение както и извършване на всички необходими дейности, свързани с участието на възложителя на свободния пазар на електрическа енергия, съгласно ПТЕЕ, Закона за енергетиката (ЗЕ) и Правилата за измерване на количествата електрическа енергия (ПИКЕЕ);</w:t>
      </w:r>
    </w:p>
    <w:p w:rsidR="00A04011" w:rsidRPr="00A04011" w:rsidRDefault="007C3518" w:rsidP="00F23C8C">
      <w:pPr>
        <w:pStyle w:val="a"/>
        <w:spacing w:before="0" w:line="276" w:lineRule="auto"/>
        <w:ind w:firstLine="708"/>
        <w:rPr>
          <w:szCs w:val="24"/>
          <w:lang w:val="bg-BG"/>
        </w:rPr>
      </w:pPr>
      <w:r>
        <w:rPr>
          <w:szCs w:val="24"/>
          <w:lang w:val="bg-BG"/>
        </w:rPr>
        <w:t xml:space="preserve"> </w:t>
      </w:r>
      <w:r w:rsidR="00776F84">
        <w:rPr>
          <w:szCs w:val="24"/>
          <w:lang w:val="bg-BG"/>
        </w:rPr>
        <w:t>д</w:t>
      </w:r>
      <w:r w:rsidR="00A04011" w:rsidRPr="00A04011">
        <w:rPr>
          <w:szCs w:val="24"/>
          <w:lang w:val="bg-BG"/>
        </w:rPr>
        <w:t>оставя необходимите прогнозни количества нетна активна електрическа енергия за всички тарифни зони (върхова, дневна и нощна) и нива на напрежение ( ниско). Възложителят си запазва правото на промяна в прогнозното количество в зависимост от възникналата необходимост.</w:t>
      </w:r>
    </w:p>
    <w:p w:rsidR="00A04011" w:rsidRPr="00A04011" w:rsidRDefault="00776F84" w:rsidP="00F23C8C">
      <w:pPr>
        <w:pStyle w:val="a"/>
        <w:spacing w:before="0" w:line="276" w:lineRule="auto"/>
        <w:ind w:firstLine="851"/>
        <w:rPr>
          <w:szCs w:val="24"/>
          <w:lang w:val="bg-BG"/>
        </w:rPr>
      </w:pPr>
      <w:r>
        <w:rPr>
          <w:szCs w:val="24"/>
          <w:lang w:val="bg-BG"/>
        </w:rPr>
        <w:t>и</w:t>
      </w:r>
      <w:r w:rsidR="00A04011" w:rsidRPr="00A04011">
        <w:rPr>
          <w:szCs w:val="24"/>
          <w:lang w:val="bg-BG"/>
        </w:rPr>
        <w:t>зготвя подробен индивидуален анализ на характерния товаров профил на клиента с цел оценка на енергийната му ефективност.</w:t>
      </w:r>
    </w:p>
    <w:p w:rsidR="00A04011" w:rsidRPr="00A04011" w:rsidRDefault="00776F84" w:rsidP="00F23C8C">
      <w:pPr>
        <w:pStyle w:val="a"/>
        <w:spacing w:before="0" w:line="276" w:lineRule="auto"/>
        <w:ind w:firstLine="851"/>
        <w:rPr>
          <w:szCs w:val="24"/>
          <w:lang w:val="bg-BG"/>
        </w:rPr>
      </w:pPr>
      <w:r>
        <w:rPr>
          <w:szCs w:val="24"/>
          <w:lang w:val="bg-BG"/>
        </w:rPr>
        <w:t>а</w:t>
      </w:r>
      <w:r w:rsidR="00A04011" w:rsidRPr="00A04011">
        <w:rPr>
          <w:szCs w:val="24"/>
          <w:lang w:val="bg-BG"/>
        </w:rPr>
        <w:t>дминистрира прогнозните дневни нетни количества активна електрическа енергия на ниско напрежение, които се известяват (регистрират) в ЕСО под формата на графици, в които са отразени почасовите количества, които избрания за изпълнител участник планира да доставя и продава на възложителя и обмена на информация с лицензираното ЕРП на територията, на която се намират съответните измервателни точки</w:t>
      </w:r>
      <w:r w:rsidR="00444118">
        <w:rPr>
          <w:szCs w:val="24"/>
          <w:lang w:val="bg-BG"/>
        </w:rPr>
        <w:t>;</w:t>
      </w:r>
    </w:p>
    <w:p w:rsidR="00776F84" w:rsidRDefault="00776F84" w:rsidP="00F23C8C">
      <w:pPr>
        <w:pStyle w:val="a"/>
        <w:spacing w:before="0" w:line="276" w:lineRule="auto"/>
        <w:ind w:firstLine="851"/>
        <w:rPr>
          <w:szCs w:val="24"/>
          <w:lang w:val="bg-BG"/>
        </w:rPr>
      </w:pPr>
      <w:r>
        <w:rPr>
          <w:szCs w:val="24"/>
          <w:lang w:val="bg-BG"/>
        </w:rPr>
        <w:t>д</w:t>
      </w:r>
      <w:r w:rsidRPr="00776F84">
        <w:rPr>
          <w:szCs w:val="24"/>
          <w:lang w:val="bg-BG"/>
        </w:rPr>
        <w:t>а спазва разпоредбите, заложени в Закон за енергетиката (ЗЕ) и наредбите към него, както и всички нормативни изисквания заложени в Правилата за търговия с електрическа енергия (ПТЕЕ) и Правилата за измерване на количествата електрическа енергия (ПИКЕЕ)</w:t>
      </w:r>
      <w:r>
        <w:rPr>
          <w:szCs w:val="24"/>
          <w:lang w:val="bg-BG"/>
        </w:rPr>
        <w:t xml:space="preserve"> и да и</w:t>
      </w:r>
      <w:r w:rsidRPr="00776F84">
        <w:rPr>
          <w:szCs w:val="24"/>
          <w:lang w:val="bg-BG"/>
        </w:rPr>
        <w:t>звършва всички необходими действия, така че да осигури изпълнението на договора и да не бъде отстранен от пазара на балансираща енергия</w:t>
      </w:r>
      <w:r>
        <w:rPr>
          <w:szCs w:val="24"/>
          <w:lang w:val="bg-BG"/>
        </w:rPr>
        <w:t>;</w:t>
      </w:r>
    </w:p>
    <w:p w:rsidR="00444118" w:rsidRPr="00444118" w:rsidRDefault="00444118" w:rsidP="00F23C8C">
      <w:pPr>
        <w:pStyle w:val="a"/>
        <w:spacing w:before="0" w:line="276" w:lineRule="auto"/>
        <w:ind w:firstLine="851"/>
        <w:rPr>
          <w:szCs w:val="24"/>
          <w:lang w:val="bg-BG"/>
        </w:rPr>
      </w:pPr>
      <w:r w:rsidRPr="00444118">
        <w:rPr>
          <w:szCs w:val="24"/>
          <w:lang w:val="bg-BG"/>
        </w:rPr>
        <w:t>да включи обектите на Възложителя в стандартна балансираща група, без възложителя да заплаща такса за участие. В качеството на координатор на балансираща група да осигурява прогнозиране на потреблението на обектите на възложителя и да извършва планиране и договаряне на конкретни количества нетна електрическа енергия, съгласно ПТЕЕ, като:</w:t>
      </w:r>
    </w:p>
    <w:p w:rsidR="00444118" w:rsidRPr="00444118" w:rsidRDefault="00444118" w:rsidP="00F23C8C">
      <w:pPr>
        <w:pStyle w:val="a"/>
        <w:spacing w:before="0" w:line="276" w:lineRule="auto"/>
        <w:ind w:firstLine="851"/>
        <w:rPr>
          <w:szCs w:val="24"/>
          <w:lang w:val="bg-BG"/>
        </w:rPr>
      </w:pPr>
      <w:r w:rsidRPr="00444118">
        <w:rPr>
          <w:szCs w:val="24"/>
          <w:lang w:val="bg-BG"/>
        </w:rPr>
        <w:t>-</w:t>
      </w:r>
      <w:r w:rsidRPr="00444118">
        <w:rPr>
          <w:szCs w:val="24"/>
          <w:lang w:val="bg-BG"/>
        </w:rPr>
        <w:tab/>
        <w:t>изготвя почасови дневни графици за доставка на електрическа енергия за обектите на възложителя, като графиците следва да съобразяват очаквания часов товар.</w:t>
      </w:r>
    </w:p>
    <w:p w:rsidR="00444118" w:rsidRPr="00444118" w:rsidRDefault="00444118" w:rsidP="00F23C8C">
      <w:pPr>
        <w:pStyle w:val="a"/>
        <w:spacing w:before="0" w:line="276" w:lineRule="auto"/>
        <w:ind w:firstLine="851"/>
        <w:rPr>
          <w:szCs w:val="24"/>
          <w:lang w:val="bg-BG"/>
        </w:rPr>
      </w:pPr>
      <w:r w:rsidRPr="00444118">
        <w:rPr>
          <w:szCs w:val="24"/>
          <w:lang w:val="bg-BG"/>
        </w:rPr>
        <w:t>-</w:t>
      </w:r>
      <w:r w:rsidRPr="00444118">
        <w:rPr>
          <w:szCs w:val="24"/>
          <w:lang w:val="bg-BG"/>
        </w:rPr>
        <w:tab/>
        <w:t>изпраща почасовите дневни графици за доставка към системата за администриране на пазара на оператора на електроенергийната система, в съответствие с разпоредбите на ПТЕЕ.</w:t>
      </w:r>
    </w:p>
    <w:p w:rsidR="00444118" w:rsidRPr="00444118" w:rsidRDefault="00444118" w:rsidP="00F23C8C">
      <w:pPr>
        <w:pStyle w:val="a"/>
        <w:spacing w:before="0" w:line="276" w:lineRule="auto"/>
        <w:ind w:firstLine="851"/>
        <w:rPr>
          <w:szCs w:val="24"/>
          <w:lang w:val="bg-BG"/>
        </w:rPr>
      </w:pPr>
      <w:r w:rsidRPr="00444118">
        <w:rPr>
          <w:szCs w:val="24"/>
          <w:lang w:val="bg-BG"/>
        </w:rPr>
        <w:t>-</w:t>
      </w:r>
      <w:r w:rsidRPr="00444118">
        <w:rPr>
          <w:szCs w:val="24"/>
          <w:lang w:val="bg-BG"/>
        </w:rPr>
        <w:tab/>
        <w:t>потвърждава от името на възложителя графиците за доставка в системата за администриране на пазара на оператора на електроенергийната система.</w:t>
      </w:r>
    </w:p>
    <w:p w:rsidR="00444118" w:rsidRDefault="00444118" w:rsidP="00F23C8C">
      <w:pPr>
        <w:pStyle w:val="a"/>
        <w:spacing w:before="0" w:line="276" w:lineRule="auto"/>
        <w:ind w:firstLine="851"/>
        <w:rPr>
          <w:szCs w:val="24"/>
          <w:lang w:val="bg-BG"/>
        </w:rPr>
      </w:pPr>
      <w:r w:rsidRPr="00444118">
        <w:rPr>
          <w:szCs w:val="24"/>
          <w:lang w:val="bg-BG"/>
        </w:rPr>
        <w:t>-</w:t>
      </w:r>
      <w:r w:rsidRPr="00444118">
        <w:rPr>
          <w:szCs w:val="24"/>
          <w:lang w:val="bg-BG"/>
        </w:rPr>
        <w:tab/>
        <w:t>осигурява отговорността по балансиране, като урежда отклоненията от заявените количества електроенергия за всеки период на сетълмент в дневните графици за доставка и тяхното заплащане, като всички разходи/приходи по балансирането на обектите на възложителя, са за сметка на изпълнителя</w:t>
      </w:r>
    </w:p>
    <w:p w:rsidR="00776F84" w:rsidRDefault="00776F84" w:rsidP="00F23C8C">
      <w:pPr>
        <w:pStyle w:val="a"/>
        <w:spacing w:before="0" w:line="276" w:lineRule="auto"/>
        <w:ind w:firstLine="851"/>
        <w:rPr>
          <w:szCs w:val="24"/>
          <w:lang w:val="bg-BG"/>
        </w:rPr>
      </w:pPr>
      <w:r>
        <w:rPr>
          <w:szCs w:val="24"/>
          <w:lang w:val="bg-BG"/>
        </w:rPr>
        <w:t>д</w:t>
      </w:r>
      <w:r w:rsidRPr="00776F84">
        <w:rPr>
          <w:szCs w:val="24"/>
          <w:lang w:val="bg-BG"/>
        </w:rPr>
        <w:t>а уведом</w:t>
      </w:r>
      <w:r w:rsidR="009E50B3">
        <w:rPr>
          <w:szCs w:val="24"/>
          <w:lang w:val="bg-BG"/>
        </w:rPr>
        <w:t xml:space="preserve">ява </w:t>
      </w:r>
      <w:r w:rsidRPr="00776F84">
        <w:rPr>
          <w:szCs w:val="24"/>
          <w:lang w:val="bg-BG"/>
        </w:rPr>
        <w:t>възложителя незабавно при невъзможност или забавяне на изпълнението на задълженията му по договора.</w:t>
      </w:r>
    </w:p>
    <w:p w:rsidR="00F23C8C" w:rsidRDefault="00F23C8C" w:rsidP="00F23C8C">
      <w:pPr>
        <w:pStyle w:val="a"/>
        <w:spacing w:before="0" w:line="276" w:lineRule="auto"/>
        <w:ind w:firstLine="851"/>
        <w:rPr>
          <w:szCs w:val="24"/>
          <w:lang w:val="bg-BG"/>
        </w:rPr>
      </w:pPr>
    </w:p>
    <w:p w:rsidR="001D0ED1" w:rsidRDefault="001D0ED1" w:rsidP="00F23C8C">
      <w:pPr>
        <w:pStyle w:val="a"/>
        <w:spacing w:before="0" w:line="276" w:lineRule="auto"/>
        <w:ind w:firstLine="851"/>
        <w:rPr>
          <w:szCs w:val="24"/>
          <w:lang w:val="bg-BG"/>
        </w:rPr>
      </w:pPr>
    </w:p>
    <w:p w:rsidR="00A04011" w:rsidRPr="001D0ED1" w:rsidRDefault="001D0ED1" w:rsidP="00F23C8C">
      <w:pPr>
        <w:pStyle w:val="a"/>
        <w:numPr>
          <w:ilvl w:val="0"/>
          <w:numId w:val="5"/>
        </w:numPr>
        <w:spacing w:before="0" w:line="276" w:lineRule="auto"/>
        <w:ind w:left="0"/>
        <w:rPr>
          <w:rFonts w:eastAsia="Calibri"/>
          <w:b/>
          <w:lang w:val="bg-BG"/>
        </w:rPr>
      </w:pPr>
      <w:r w:rsidRPr="001D0ED1">
        <w:rPr>
          <w:rFonts w:eastAsia="Calibri"/>
          <w:b/>
          <w:lang w:val="bg-BG"/>
        </w:rPr>
        <w:lastRenderedPageBreak/>
        <w:t>Цени</w:t>
      </w:r>
      <w:r w:rsidR="00BE70B5">
        <w:rPr>
          <w:rFonts w:eastAsia="Calibri"/>
          <w:b/>
          <w:lang w:val="bg-BG"/>
        </w:rPr>
        <w:t>,</w:t>
      </w:r>
      <w:r w:rsidRPr="001D0ED1">
        <w:rPr>
          <w:rFonts w:eastAsia="Calibri"/>
          <w:b/>
          <w:lang w:val="bg-BG"/>
        </w:rPr>
        <w:t xml:space="preserve"> фактуриране</w:t>
      </w:r>
      <w:r w:rsidR="00BE70B5">
        <w:rPr>
          <w:rFonts w:eastAsia="Calibri"/>
          <w:b/>
          <w:lang w:val="bg-BG"/>
        </w:rPr>
        <w:t xml:space="preserve"> и плащания</w:t>
      </w:r>
    </w:p>
    <w:p w:rsidR="00AD425B" w:rsidRDefault="001D0ED1" w:rsidP="00F23C8C">
      <w:pPr>
        <w:spacing w:line="276" w:lineRule="auto"/>
        <w:ind w:firstLine="360"/>
        <w:jc w:val="both"/>
        <w:rPr>
          <w:rFonts w:ascii="Times New Roman" w:hAnsi="Times New Roman" w:cs="Times New Roman"/>
          <w:szCs w:val="24"/>
        </w:rPr>
      </w:pPr>
      <w:r w:rsidRPr="001D0ED1">
        <w:rPr>
          <w:rFonts w:ascii="Times New Roman" w:hAnsi="Times New Roman" w:cs="Times New Roman"/>
          <w:szCs w:val="24"/>
        </w:rPr>
        <w:t>Цената през целия срок на действие на договора за доставка на 1 мВтч. нетна активна електрическа енергия без ДДС се формира като към средноаритметичната месечна цена без ДДС за 1 мВтч. нетна активна електрическа енергия ниско напрежение на Българска независима Енергийна Борса</w:t>
      </w:r>
      <w:r w:rsidRPr="00AD425B">
        <w:rPr>
          <w:rFonts w:ascii="Times New Roman" w:hAnsi="Times New Roman" w:cs="Times New Roman"/>
          <w:szCs w:val="24"/>
        </w:rPr>
        <w:t xml:space="preserve">, пазарен сегмент „Ден напред“ се прибави предложената в „Ценовото предложение“ на </w:t>
      </w:r>
      <w:r w:rsidR="00250033" w:rsidRPr="00AD425B">
        <w:rPr>
          <w:rFonts w:ascii="Times New Roman" w:hAnsi="Times New Roman" w:cs="Times New Roman"/>
          <w:szCs w:val="24"/>
        </w:rPr>
        <w:t>Участника</w:t>
      </w:r>
      <w:r w:rsidRPr="00AD425B">
        <w:rPr>
          <w:rFonts w:ascii="Times New Roman" w:hAnsi="Times New Roman" w:cs="Times New Roman"/>
          <w:szCs w:val="24"/>
        </w:rPr>
        <w:t xml:space="preserve"> фиксирана</w:t>
      </w:r>
      <w:r w:rsidRPr="001D0ED1">
        <w:rPr>
          <w:rFonts w:ascii="Times New Roman" w:hAnsi="Times New Roman" w:cs="Times New Roman"/>
          <w:szCs w:val="24"/>
        </w:rPr>
        <w:t xml:space="preserve"> за целия срок на договора </w:t>
      </w:r>
      <w:r w:rsidR="00AD425B" w:rsidRPr="00AD425B">
        <w:rPr>
          <w:rFonts w:ascii="Times New Roman" w:hAnsi="Times New Roman" w:cs="Times New Roman"/>
          <w:b/>
          <w:szCs w:val="24"/>
        </w:rPr>
        <w:t xml:space="preserve">цена за </w:t>
      </w:r>
      <w:r w:rsidRPr="00AD425B">
        <w:rPr>
          <w:rFonts w:ascii="Times New Roman" w:hAnsi="Times New Roman" w:cs="Times New Roman"/>
          <w:b/>
          <w:szCs w:val="24"/>
        </w:rPr>
        <w:t>надбавка</w:t>
      </w:r>
      <w:r w:rsidRPr="00250033">
        <w:rPr>
          <w:rFonts w:ascii="Times New Roman" w:hAnsi="Times New Roman" w:cs="Times New Roman"/>
          <w:b/>
          <w:szCs w:val="24"/>
        </w:rPr>
        <w:t xml:space="preserve"> </w:t>
      </w:r>
      <w:r w:rsidRPr="001D0ED1">
        <w:rPr>
          <w:rFonts w:ascii="Times New Roman" w:hAnsi="Times New Roman" w:cs="Times New Roman"/>
          <w:szCs w:val="24"/>
        </w:rPr>
        <w:t xml:space="preserve">без ДДС за 1 мВтч. нетна активна електрическа енергия. Същата подлежи на промяна по реда на чл. 117а от ЗОП. </w:t>
      </w:r>
      <w:r w:rsidR="00E54541">
        <w:rPr>
          <w:rFonts w:ascii="Times New Roman" w:hAnsi="Times New Roman" w:cs="Times New Roman"/>
          <w:szCs w:val="24"/>
        </w:rPr>
        <w:t xml:space="preserve">В надбавката не </w:t>
      </w:r>
      <w:r w:rsidRPr="001D0ED1">
        <w:rPr>
          <w:rFonts w:ascii="Times New Roman" w:hAnsi="Times New Roman" w:cs="Times New Roman"/>
          <w:szCs w:val="24"/>
        </w:rPr>
        <w:t>се включват регулаторно определените цени за мрежови услуги, определената с решение на Комисията за енергийно и водно регулиране (КЕВР) такса (цена) „задължения към обществото“, акциз по чл. 20, ал. 2, т. 17 от Закона за акцизите и данъчните складове, ДДС, както и всякакви други нормативно определени такси, добавки, вноски и данъци, съгласно действащото законодателство.</w:t>
      </w:r>
      <w:r w:rsidR="00AD425B">
        <w:rPr>
          <w:rFonts w:ascii="Times New Roman" w:hAnsi="Times New Roman" w:cs="Times New Roman"/>
          <w:szCs w:val="24"/>
        </w:rPr>
        <w:t xml:space="preserve"> </w:t>
      </w:r>
    </w:p>
    <w:p w:rsidR="008B5404" w:rsidRDefault="008B5404" w:rsidP="00F23C8C">
      <w:pPr>
        <w:spacing w:line="276" w:lineRule="auto"/>
        <w:ind w:firstLine="360"/>
        <w:jc w:val="both"/>
        <w:rPr>
          <w:rFonts w:ascii="Times New Roman" w:hAnsi="Times New Roman" w:cs="Times New Roman"/>
          <w:szCs w:val="24"/>
        </w:rPr>
      </w:pPr>
      <w:r w:rsidRPr="008B5404">
        <w:rPr>
          <w:rFonts w:ascii="Times New Roman" w:hAnsi="Times New Roman" w:cs="Times New Roman"/>
          <w:szCs w:val="24"/>
        </w:rPr>
        <w:t xml:space="preserve">ИЗПЪЛНИТЕЛЯТ се задължава в издаваните от него фактури да посочва </w:t>
      </w:r>
      <w:r w:rsidR="00F23C8C">
        <w:rPr>
          <w:rFonts w:ascii="Times New Roman" w:hAnsi="Times New Roman" w:cs="Times New Roman"/>
          <w:szCs w:val="24"/>
        </w:rPr>
        <w:t xml:space="preserve">на отделни редове </w:t>
      </w:r>
      <w:r w:rsidRPr="008B5404">
        <w:rPr>
          <w:rFonts w:ascii="Times New Roman" w:hAnsi="Times New Roman" w:cs="Times New Roman"/>
          <w:szCs w:val="24"/>
        </w:rPr>
        <w:t>консумираното количество нетна активна електрическа енергия за периода, отчетена по измервателния уред на съответната измервателна точка, по приложимата цена за доставка на нетна активна електрическа енергия</w:t>
      </w:r>
      <w:r w:rsidR="00F23C8C">
        <w:rPr>
          <w:rFonts w:ascii="Times New Roman" w:hAnsi="Times New Roman" w:cs="Times New Roman"/>
          <w:szCs w:val="24"/>
        </w:rPr>
        <w:t xml:space="preserve">, </w:t>
      </w:r>
      <w:r w:rsidR="00AD425B" w:rsidRPr="00AD425B">
        <w:rPr>
          <w:rFonts w:ascii="Times New Roman" w:hAnsi="Times New Roman" w:cs="Times New Roman"/>
          <w:szCs w:val="24"/>
        </w:rPr>
        <w:t>стойността на мрежовите услуги съгласно чл. 20 и чл. 31, ал. 1 от ПТЕЕ</w:t>
      </w:r>
      <w:r w:rsidR="00F23C8C">
        <w:rPr>
          <w:rFonts w:ascii="Times New Roman" w:hAnsi="Times New Roman" w:cs="Times New Roman"/>
          <w:szCs w:val="24"/>
        </w:rPr>
        <w:t xml:space="preserve">, </w:t>
      </w:r>
      <w:r w:rsidR="00AD425B" w:rsidRPr="00AD425B">
        <w:rPr>
          <w:rFonts w:ascii="Times New Roman" w:hAnsi="Times New Roman" w:cs="Times New Roman"/>
          <w:szCs w:val="24"/>
        </w:rPr>
        <w:t xml:space="preserve"> </w:t>
      </w:r>
      <w:r w:rsidR="00F23C8C" w:rsidRPr="00F23C8C">
        <w:rPr>
          <w:rFonts w:ascii="Times New Roman" w:hAnsi="Times New Roman" w:cs="Times New Roman"/>
          <w:szCs w:val="24"/>
        </w:rPr>
        <w:t>определената с решения на КЕВР (ДКЕВР) такса (цена) „задължения към обществото</w:t>
      </w:r>
      <w:r w:rsidR="00AD425B" w:rsidRPr="00AD425B">
        <w:rPr>
          <w:rFonts w:ascii="Times New Roman" w:hAnsi="Times New Roman" w:cs="Times New Roman"/>
          <w:szCs w:val="24"/>
        </w:rPr>
        <w:t xml:space="preserve">, </w:t>
      </w:r>
      <w:r w:rsidR="00F23C8C">
        <w:rPr>
          <w:rFonts w:ascii="Times New Roman" w:hAnsi="Times New Roman" w:cs="Times New Roman"/>
          <w:szCs w:val="24"/>
        </w:rPr>
        <w:t>а</w:t>
      </w:r>
      <w:r w:rsidR="00F23C8C" w:rsidRPr="00F23C8C">
        <w:rPr>
          <w:rFonts w:ascii="Times New Roman" w:hAnsi="Times New Roman" w:cs="Times New Roman"/>
          <w:szCs w:val="24"/>
        </w:rPr>
        <w:t>кциз</w:t>
      </w:r>
      <w:r w:rsidR="00F23C8C">
        <w:rPr>
          <w:rFonts w:ascii="Times New Roman" w:hAnsi="Times New Roman" w:cs="Times New Roman"/>
          <w:szCs w:val="24"/>
        </w:rPr>
        <w:t>ът</w:t>
      </w:r>
      <w:r w:rsidR="00F23C8C" w:rsidRPr="00F23C8C">
        <w:rPr>
          <w:rFonts w:ascii="Times New Roman" w:hAnsi="Times New Roman" w:cs="Times New Roman"/>
          <w:szCs w:val="24"/>
        </w:rPr>
        <w:t xml:space="preserve"> по чл. 20 ал. 2 т. 17 от ЗАДС</w:t>
      </w:r>
      <w:r w:rsidR="00AD425B" w:rsidRPr="00AD425B">
        <w:rPr>
          <w:rFonts w:ascii="Times New Roman" w:hAnsi="Times New Roman" w:cs="Times New Roman"/>
          <w:szCs w:val="24"/>
        </w:rPr>
        <w:t xml:space="preserve"> и </w:t>
      </w:r>
      <w:r w:rsidR="00F23C8C">
        <w:rPr>
          <w:rFonts w:ascii="Times New Roman" w:hAnsi="Times New Roman" w:cs="Times New Roman"/>
          <w:szCs w:val="24"/>
        </w:rPr>
        <w:t xml:space="preserve">начисления </w:t>
      </w:r>
      <w:r w:rsidR="00AD425B" w:rsidRPr="00AD425B">
        <w:rPr>
          <w:rFonts w:ascii="Times New Roman" w:hAnsi="Times New Roman" w:cs="Times New Roman"/>
          <w:szCs w:val="24"/>
        </w:rPr>
        <w:t>ДДС.</w:t>
      </w:r>
      <w:r w:rsidR="00AD425B">
        <w:rPr>
          <w:rFonts w:ascii="Times New Roman" w:hAnsi="Times New Roman" w:cs="Times New Roman"/>
          <w:szCs w:val="24"/>
        </w:rPr>
        <w:t xml:space="preserve"> </w:t>
      </w:r>
      <w:r w:rsidR="00AD425B" w:rsidRPr="00AD425B">
        <w:rPr>
          <w:rFonts w:ascii="Times New Roman" w:hAnsi="Times New Roman" w:cs="Times New Roman"/>
          <w:szCs w:val="24"/>
        </w:rPr>
        <w:t>Фактурата следва да отразява продължителността на периода, срок за плащане, идентификационен код на обекта, идентификационен номер на средството за търговско измерване и др.</w:t>
      </w:r>
    </w:p>
    <w:p w:rsidR="001D0ED1" w:rsidRDefault="001D0ED1" w:rsidP="00F23C8C">
      <w:pPr>
        <w:spacing w:line="276" w:lineRule="auto"/>
        <w:ind w:firstLine="360"/>
        <w:jc w:val="both"/>
        <w:rPr>
          <w:rFonts w:ascii="Times New Roman" w:hAnsi="Times New Roman" w:cs="Times New Roman"/>
          <w:szCs w:val="24"/>
        </w:rPr>
      </w:pPr>
      <w:r w:rsidRPr="001D0ED1">
        <w:rPr>
          <w:rFonts w:ascii="Times New Roman" w:hAnsi="Times New Roman" w:cs="Times New Roman"/>
          <w:szCs w:val="24"/>
        </w:rPr>
        <w:t xml:space="preserve">ВЪЗЛОЖИТЕЛЯТ </w:t>
      </w:r>
      <w:r w:rsidR="00AD425B">
        <w:rPr>
          <w:rFonts w:ascii="Times New Roman" w:hAnsi="Times New Roman" w:cs="Times New Roman"/>
          <w:szCs w:val="24"/>
        </w:rPr>
        <w:t xml:space="preserve">ще </w:t>
      </w:r>
      <w:r w:rsidRPr="001D0ED1">
        <w:rPr>
          <w:rFonts w:ascii="Times New Roman" w:hAnsi="Times New Roman" w:cs="Times New Roman"/>
          <w:szCs w:val="24"/>
        </w:rPr>
        <w:t>заплаща д</w:t>
      </w:r>
      <w:r w:rsidR="00F23C8C">
        <w:rPr>
          <w:rFonts w:ascii="Times New Roman" w:hAnsi="Times New Roman" w:cs="Times New Roman"/>
          <w:szCs w:val="24"/>
        </w:rPr>
        <w:t>ължимата стойност</w:t>
      </w:r>
      <w:r w:rsidRPr="001D0ED1">
        <w:rPr>
          <w:rFonts w:ascii="Times New Roman" w:hAnsi="Times New Roman" w:cs="Times New Roman"/>
          <w:szCs w:val="24"/>
        </w:rPr>
        <w:t>, ежемесечно в лева, с платежно нареждане, по банков път, в срок до 20 (двадесет) календарни дни, считано от датата на издаване и представяне от ИЗПЪЛНИТЕЛЯ на оригинална фактура на ВЪЗЛОЖИТЕЛЯ.</w:t>
      </w: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Default="00F23C8C" w:rsidP="00F23C8C">
      <w:pPr>
        <w:spacing w:line="276" w:lineRule="auto"/>
        <w:ind w:firstLine="360"/>
        <w:jc w:val="both"/>
        <w:rPr>
          <w:rFonts w:ascii="Times New Roman" w:hAnsi="Times New Roman" w:cs="Times New Roman"/>
          <w:szCs w:val="24"/>
        </w:rPr>
      </w:pP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Чл. 48. (1) (Изм. - ДВ, бр. 86 от 2018 г., в сила от 01.03.2019 г.) Възложителят определя техническите спецификации съобразно изискванията на приложимите нормативни актове в съответната област, като прилага някой от следните начини:</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1. чрез посочване на работните характеристики или функционалните изисквания, включително екологичните, които позволяват точно определяне на параметрите на предмета на поръчката;</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2. чрез посочване в следния ред на:</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а) български стандарти, които въвеждат европейски стандарти;</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б) европейски технически оценки;</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в) общи технически спецификации;</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г) международни стандарти;</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д) други стандартизационни документи, установени от европейски органи по стандартизация, или когато няма такива - чрез български стандарти, български технически одобрения или български технически спецификации, отнасящи се до проектирането, метода на изчисление и изпълнение на строителството, както и до използването на стоките;</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3. чрез определяне на работни характеристики или на функционални изисквания чрез посочване на спецификации по т. 2, позоваването на които се приема за постигане на съответствие с изискванията за работните характеристики или функционални изисквания;</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4. чрез спецификации по т. 2 за част от характеристиките, а за други - чрез посочване на работните характеристики или функционалните изисквания по т. 1.</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(2) (Изм. - ДВ, бр. 86 от 2018 г., в сила от 01.03.2019 г.) Всяко посочване на стандарт, спецификация, техническа оценка или техническо одобрение по ал. 1, т. 2 следва да е допълнено с думите "или еквивалентно/и".</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(3) Възложителят може да постави допълнителни изисквания, които са свързани с предмета на поръчката и са пропорционални на нейната стойност и цели. Те могат да се отнасят до специфичен процес или метод за производство или предоставяне на строителство, доставки или услуги, или до специфичен процес на друг етап от жизнения им цикъл.</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(4) При необходимост в техническите спецификации възложителят посочва изискването за прехвърляне на правата върху интелектуална собственост.</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(5) Когато резултатът от поръчката ще се използва от физически лица, техническите спецификации, които определят характеристиките на предмета на поръчката, трябва да бъдат съобразени с критериите за достъпност за хора с увреждания или да осигурят възможност и хора с увреждания да ползват този резултат.</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(6) Когато с акт на Европейския съюз са определени задължителни изисквания, свързани с критерии за достъпност за хора с увреждания или условия за ползване от такива хора, в техническите спецификации се включва препратка към тези изисквания.</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(7) (Нова - ДВ, бр. 17 от 2019 г.) Когато предметът на поръчката е разработване, проектиране и използване на услуги и продукти, които се основават на обработване на лични данни или обработват лични данни, и когато съответното обработване на лични данни попада в материалния обхват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техническите спецификации, които определят характеристиките на предмета на поръчката, трябва да бъдат съобразени с правилата за защита на лични данни съгласно чл. 25 от същия регламент.</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Специфични условия при определяне на техническите спецификации</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709"/>
        <w:jc w:val="both"/>
        <w:rPr>
          <w:rFonts w:ascii="Times New Roman" w:hAnsi="Times New Roman" w:cs="Times New Roman"/>
          <w:sz w:val="20"/>
          <w:szCs w:val="20"/>
        </w:rPr>
      </w:pPr>
      <w:r w:rsidRPr="00F23C8C">
        <w:rPr>
          <w:rFonts w:ascii="Times New Roman" w:hAnsi="Times New Roman" w:cs="Times New Roman"/>
          <w:sz w:val="20"/>
          <w:szCs w:val="20"/>
        </w:rPr>
        <w:t>Чл. 49. (1) Техническите спецификации трябва да осигуряват равен достъп на кандидатите или участниците до процедурата за възлагане на обществената поръчка и да не създават необосновани пречки пред възлагането на обществената поръчка в условията на конкуренция.</w:t>
      </w:r>
    </w:p>
    <w:p w:rsidR="00F23C8C" w:rsidRPr="00F23C8C" w:rsidRDefault="00F23C8C" w:rsidP="00F23C8C">
      <w:pPr>
        <w:pBdr>
          <w:top w:val="single" w:sz="4" w:space="1" w:color="auto"/>
          <w:left w:val="single" w:sz="4" w:space="4" w:color="auto"/>
          <w:bottom w:val="single" w:sz="4" w:space="1" w:color="auto"/>
          <w:right w:val="single" w:sz="4" w:space="4" w:color="auto"/>
        </w:pBdr>
        <w:spacing w:line="276" w:lineRule="auto"/>
        <w:ind w:firstLine="360"/>
        <w:jc w:val="both"/>
        <w:rPr>
          <w:rFonts w:ascii="Times New Roman" w:hAnsi="Times New Roman" w:cs="Times New Roman"/>
          <w:sz w:val="20"/>
          <w:szCs w:val="20"/>
        </w:rPr>
      </w:pPr>
      <w:r w:rsidRPr="00F23C8C">
        <w:rPr>
          <w:rFonts w:ascii="Times New Roman" w:hAnsi="Times New Roman" w:cs="Times New Roman"/>
          <w:sz w:val="20"/>
          <w:szCs w:val="20"/>
        </w:rPr>
        <w:t>(2) Техническите спецификации не могат да съдържат конкретен модел, източник или специфичен процес, който характеризира продуктите или услугите, предлагани от конкретен потенциален изпълнител, нито търговска марка, патент, тип или конкретен произход или производство, което би довело до облагодетелстване или елиминиране на определени лица или някои продукти. По изключение, когато е невъзможно предметът на поръчката да се опише достатъчно точно и разбираемо по реда на чл. 48, ал. 1, се допуска подобно посочване, като задължително се добавят думите "или еквивалентно/и".</w:t>
      </w:r>
    </w:p>
    <w:p w:rsidR="00F23C8C" w:rsidRPr="00F23C8C" w:rsidRDefault="00F23C8C" w:rsidP="00F23C8C">
      <w:pPr>
        <w:spacing w:line="276" w:lineRule="auto"/>
        <w:ind w:firstLine="360"/>
        <w:jc w:val="both"/>
        <w:rPr>
          <w:rFonts w:ascii="Times New Roman" w:hAnsi="Times New Roman" w:cs="Times New Roman"/>
          <w:szCs w:val="24"/>
        </w:rPr>
      </w:pPr>
    </w:p>
    <w:sectPr w:rsidR="00F23C8C" w:rsidRPr="00F23C8C" w:rsidSect="00F23C8C">
      <w:pgSz w:w="11906" w:h="16838"/>
      <w:pgMar w:top="720" w:right="127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auto"/>
    <w:pitch w:val="variable"/>
  </w:font>
  <w:font w:name="Liberation Serif">
    <w:altName w:val="Times New Roman"/>
    <w:panose1 w:val="02020603050405020304"/>
    <w:charset w:val="CC"/>
    <w:family w:val="roman"/>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AC9"/>
    <w:multiLevelType w:val="hybridMultilevel"/>
    <w:tmpl w:val="E86899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5644B1D"/>
    <w:multiLevelType w:val="hybridMultilevel"/>
    <w:tmpl w:val="D044700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11610E6"/>
    <w:multiLevelType w:val="hybridMultilevel"/>
    <w:tmpl w:val="132CF8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8F51009"/>
    <w:multiLevelType w:val="hybridMultilevel"/>
    <w:tmpl w:val="9F8C610A"/>
    <w:lvl w:ilvl="0" w:tplc="25D0EED4">
      <w:start w:val="1"/>
      <w:numFmt w:val="decimal"/>
      <w:lvlText w:val="%1."/>
      <w:lvlJc w:val="left"/>
      <w:pPr>
        <w:ind w:left="755" w:hanging="296"/>
        <w:jc w:val="right"/>
      </w:pPr>
      <w:rPr>
        <w:rFonts w:ascii="Times New Roman" w:eastAsia="Times New Roman" w:hAnsi="Times New Roman" w:cs="Times New Roman" w:hint="default"/>
        <w:b/>
        <w:bCs/>
        <w:w w:val="100"/>
        <w:sz w:val="24"/>
        <w:szCs w:val="24"/>
        <w:lang w:val="bg-BG" w:eastAsia="en-US" w:bidi="ar-SA"/>
      </w:rPr>
    </w:lvl>
    <w:lvl w:ilvl="1" w:tplc="D49AA72A">
      <w:numFmt w:val="bullet"/>
      <w:lvlText w:val="•"/>
      <w:lvlJc w:val="left"/>
      <w:pPr>
        <w:ind w:left="1160" w:hanging="296"/>
      </w:pPr>
      <w:rPr>
        <w:rFonts w:hint="default"/>
        <w:lang w:val="bg-BG" w:eastAsia="en-US" w:bidi="ar-SA"/>
      </w:rPr>
    </w:lvl>
    <w:lvl w:ilvl="2" w:tplc="9878C9C2">
      <w:numFmt w:val="bullet"/>
      <w:lvlText w:val="•"/>
      <w:lvlJc w:val="left"/>
      <w:pPr>
        <w:ind w:left="2217" w:hanging="296"/>
      </w:pPr>
      <w:rPr>
        <w:rFonts w:hint="default"/>
        <w:lang w:val="bg-BG" w:eastAsia="en-US" w:bidi="ar-SA"/>
      </w:rPr>
    </w:lvl>
    <w:lvl w:ilvl="3" w:tplc="ADC016E6">
      <w:numFmt w:val="bullet"/>
      <w:lvlText w:val="•"/>
      <w:lvlJc w:val="left"/>
      <w:pPr>
        <w:ind w:left="3275" w:hanging="296"/>
      </w:pPr>
      <w:rPr>
        <w:rFonts w:hint="default"/>
        <w:lang w:val="bg-BG" w:eastAsia="en-US" w:bidi="ar-SA"/>
      </w:rPr>
    </w:lvl>
    <w:lvl w:ilvl="4" w:tplc="F858E394">
      <w:numFmt w:val="bullet"/>
      <w:lvlText w:val="•"/>
      <w:lvlJc w:val="left"/>
      <w:pPr>
        <w:ind w:left="4333" w:hanging="296"/>
      </w:pPr>
      <w:rPr>
        <w:rFonts w:hint="default"/>
        <w:lang w:val="bg-BG" w:eastAsia="en-US" w:bidi="ar-SA"/>
      </w:rPr>
    </w:lvl>
    <w:lvl w:ilvl="5" w:tplc="54688B18">
      <w:numFmt w:val="bullet"/>
      <w:lvlText w:val="•"/>
      <w:lvlJc w:val="left"/>
      <w:pPr>
        <w:ind w:left="5390" w:hanging="296"/>
      </w:pPr>
      <w:rPr>
        <w:rFonts w:hint="default"/>
        <w:lang w:val="bg-BG" w:eastAsia="en-US" w:bidi="ar-SA"/>
      </w:rPr>
    </w:lvl>
    <w:lvl w:ilvl="6" w:tplc="AB90312E">
      <w:numFmt w:val="bullet"/>
      <w:lvlText w:val="•"/>
      <w:lvlJc w:val="left"/>
      <w:pPr>
        <w:ind w:left="6448" w:hanging="296"/>
      </w:pPr>
      <w:rPr>
        <w:rFonts w:hint="default"/>
        <w:lang w:val="bg-BG" w:eastAsia="en-US" w:bidi="ar-SA"/>
      </w:rPr>
    </w:lvl>
    <w:lvl w:ilvl="7" w:tplc="40767B52">
      <w:numFmt w:val="bullet"/>
      <w:lvlText w:val="•"/>
      <w:lvlJc w:val="left"/>
      <w:pPr>
        <w:ind w:left="7506" w:hanging="296"/>
      </w:pPr>
      <w:rPr>
        <w:rFonts w:hint="default"/>
        <w:lang w:val="bg-BG" w:eastAsia="en-US" w:bidi="ar-SA"/>
      </w:rPr>
    </w:lvl>
    <w:lvl w:ilvl="8" w:tplc="75F6D4BC">
      <w:numFmt w:val="bullet"/>
      <w:lvlText w:val="•"/>
      <w:lvlJc w:val="left"/>
      <w:pPr>
        <w:ind w:left="8563" w:hanging="296"/>
      </w:pPr>
      <w:rPr>
        <w:rFonts w:hint="default"/>
        <w:lang w:val="bg-BG" w:eastAsia="en-US" w:bidi="ar-SA"/>
      </w:rPr>
    </w:lvl>
  </w:abstractNum>
  <w:abstractNum w:abstractNumId="4">
    <w:nsid w:val="693D0B24"/>
    <w:multiLevelType w:val="hybridMultilevel"/>
    <w:tmpl w:val="4DFC4CCA"/>
    <w:lvl w:ilvl="0" w:tplc="7BC25E5C">
      <w:numFmt w:val="bullet"/>
      <w:lvlText w:val="-"/>
      <w:lvlJc w:val="left"/>
      <w:pPr>
        <w:ind w:left="1571" w:hanging="360"/>
      </w:pPr>
      <w:rPr>
        <w:rFonts w:ascii="Verdana" w:eastAsia="Times New Roman" w:hAnsi="Verdana"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5">
    <w:nsid w:val="698E33D0"/>
    <w:multiLevelType w:val="hybridMultilevel"/>
    <w:tmpl w:val="98D23288"/>
    <w:lvl w:ilvl="0" w:tplc="D0C6EEFA">
      <w:start w:val="1"/>
      <w:numFmt w:val="decimal"/>
      <w:lvlText w:val="%1."/>
      <w:lvlJc w:val="left"/>
      <w:pPr>
        <w:ind w:left="820" w:hanging="360"/>
      </w:pPr>
      <w:rPr>
        <w:rFonts w:hint="default"/>
        <w:b/>
        <w:sz w:val="22"/>
      </w:rPr>
    </w:lvl>
    <w:lvl w:ilvl="1" w:tplc="04020019" w:tentative="1">
      <w:start w:val="1"/>
      <w:numFmt w:val="lowerLetter"/>
      <w:lvlText w:val="%2."/>
      <w:lvlJc w:val="left"/>
      <w:pPr>
        <w:ind w:left="1540" w:hanging="360"/>
      </w:pPr>
    </w:lvl>
    <w:lvl w:ilvl="2" w:tplc="0402001B" w:tentative="1">
      <w:start w:val="1"/>
      <w:numFmt w:val="lowerRoman"/>
      <w:lvlText w:val="%3."/>
      <w:lvlJc w:val="right"/>
      <w:pPr>
        <w:ind w:left="2260" w:hanging="180"/>
      </w:pPr>
    </w:lvl>
    <w:lvl w:ilvl="3" w:tplc="0402000F" w:tentative="1">
      <w:start w:val="1"/>
      <w:numFmt w:val="decimal"/>
      <w:lvlText w:val="%4."/>
      <w:lvlJc w:val="left"/>
      <w:pPr>
        <w:ind w:left="2980" w:hanging="360"/>
      </w:pPr>
    </w:lvl>
    <w:lvl w:ilvl="4" w:tplc="04020019" w:tentative="1">
      <w:start w:val="1"/>
      <w:numFmt w:val="lowerLetter"/>
      <w:lvlText w:val="%5."/>
      <w:lvlJc w:val="left"/>
      <w:pPr>
        <w:ind w:left="3700" w:hanging="360"/>
      </w:pPr>
    </w:lvl>
    <w:lvl w:ilvl="5" w:tplc="0402001B" w:tentative="1">
      <w:start w:val="1"/>
      <w:numFmt w:val="lowerRoman"/>
      <w:lvlText w:val="%6."/>
      <w:lvlJc w:val="right"/>
      <w:pPr>
        <w:ind w:left="4420" w:hanging="180"/>
      </w:pPr>
    </w:lvl>
    <w:lvl w:ilvl="6" w:tplc="0402000F" w:tentative="1">
      <w:start w:val="1"/>
      <w:numFmt w:val="decimal"/>
      <w:lvlText w:val="%7."/>
      <w:lvlJc w:val="left"/>
      <w:pPr>
        <w:ind w:left="5140" w:hanging="360"/>
      </w:pPr>
    </w:lvl>
    <w:lvl w:ilvl="7" w:tplc="04020019" w:tentative="1">
      <w:start w:val="1"/>
      <w:numFmt w:val="lowerLetter"/>
      <w:lvlText w:val="%8."/>
      <w:lvlJc w:val="left"/>
      <w:pPr>
        <w:ind w:left="5860" w:hanging="360"/>
      </w:pPr>
    </w:lvl>
    <w:lvl w:ilvl="8" w:tplc="0402001B" w:tentative="1">
      <w:start w:val="1"/>
      <w:numFmt w:val="lowerRoman"/>
      <w:lvlText w:val="%9."/>
      <w:lvlJc w:val="right"/>
      <w:pPr>
        <w:ind w:left="65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C3"/>
    <w:rsid w:val="00000DD2"/>
    <w:rsid w:val="000014EE"/>
    <w:rsid w:val="000216AF"/>
    <w:rsid w:val="00023E24"/>
    <w:rsid w:val="00024ED2"/>
    <w:rsid w:val="00074CB9"/>
    <w:rsid w:val="000816BE"/>
    <w:rsid w:val="000B50E1"/>
    <w:rsid w:val="001368E9"/>
    <w:rsid w:val="00190BAC"/>
    <w:rsid w:val="001C0745"/>
    <w:rsid w:val="001D0ED1"/>
    <w:rsid w:val="00250033"/>
    <w:rsid w:val="003A45C3"/>
    <w:rsid w:val="003B277E"/>
    <w:rsid w:val="00401D8B"/>
    <w:rsid w:val="00434AEE"/>
    <w:rsid w:val="00444118"/>
    <w:rsid w:val="00452DC5"/>
    <w:rsid w:val="00481C36"/>
    <w:rsid w:val="004B517B"/>
    <w:rsid w:val="00505222"/>
    <w:rsid w:val="00545A0D"/>
    <w:rsid w:val="005756A0"/>
    <w:rsid w:val="005A6D44"/>
    <w:rsid w:val="005D483B"/>
    <w:rsid w:val="0064647D"/>
    <w:rsid w:val="006A65C1"/>
    <w:rsid w:val="006D37F6"/>
    <w:rsid w:val="00776F84"/>
    <w:rsid w:val="007C1A63"/>
    <w:rsid w:val="007C3518"/>
    <w:rsid w:val="007D2136"/>
    <w:rsid w:val="008B5404"/>
    <w:rsid w:val="008C3185"/>
    <w:rsid w:val="008C59DA"/>
    <w:rsid w:val="0092486A"/>
    <w:rsid w:val="009E50B3"/>
    <w:rsid w:val="00A04011"/>
    <w:rsid w:val="00A83477"/>
    <w:rsid w:val="00AD425B"/>
    <w:rsid w:val="00B22D07"/>
    <w:rsid w:val="00B71C24"/>
    <w:rsid w:val="00B9689A"/>
    <w:rsid w:val="00BC2E0F"/>
    <w:rsid w:val="00BE70B5"/>
    <w:rsid w:val="00C63EAE"/>
    <w:rsid w:val="00CC5BAA"/>
    <w:rsid w:val="00D3079D"/>
    <w:rsid w:val="00D45836"/>
    <w:rsid w:val="00D73E2D"/>
    <w:rsid w:val="00E045C8"/>
    <w:rsid w:val="00E14930"/>
    <w:rsid w:val="00E54541"/>
    <w:rsid w:val="00E64314"/>
    <w:rsid w:val="00F23C8C"/>
    <w:rsid w:val="00F42754"/>
    <w:rsid w:val="00F561E4"/>
    <w:rsid w:val="00F619F6"/>
    <w:rsid w:val="00FA39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C3"/>
    <w:pPr>
      <w:widowControl w:val="0"/>
      <w:suppressAutoHyphens/>
      <w:autoSpaceDN w:val="0"/>
      <w:spacing w:after="0" w:line="240" w:lineRule="auto"/>
      <w:textAlignment w:val="baseline"/>
    </w:pPr>
    <w:rPr>
      <w:rFonts w:ascii="Calibri" w:eastAsia="Calibri" w:hAnsi="Calibri" w:cs="DejaVu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3A45C3"/>
    <w:pPr>
      <w:suppressAutoHyphens/>
      <w:autoSpaceDN w:val="0"/>
      <w:spacing w:after="0" w:line="240" w:lineRule="auto"/>
      <w:textAlignment w:val="baseline"/>
    </w:pPr>
    <w:rPr>
      <w:rFonts w:ascii="Liberation Serif" w:eastAsia="Noto Sans CJK SC" w:hAnsi="Liberation Serif" w:cs="Lohit Devanagari"/>
      <w:kern w:val="3"/>
      <w:sz w:val="24"/>
      <w:szCs w:val="24"/>
      <w:lang w:val="en-US" w:eastAsia="zh-CN" w:bidi="hi-IN"/>
    </w:rPr>
  </w:style>
  <w:style w:type="paragraph" w:customStyle="1" w:styleId="Heading1">
    <w:name w:val="Heading #1"/>
    <w:basedOn w:val="Standarduser"/>
    <w:rsid w:val="003A45C3"/>
    <w:pPr>
      <w:shd w:val="clear" w:color="auto" w:fill="FFFFFF"/>
      <w:spacing w:after="600" w:line="240" w:lineRule="atLeast"/>
      <w:outlineLvl w:val="0"/>
    </w:pPr>
    <w:rPr>
      <w:rFonts w:ascii="MS Reference Sans Serif" w:eastAsia="MS Reference Sans Serif" w:hAnsi="MS Reference Sans Serif" w:cs="MS Reference Sans Serif"/>
      <w:b/>
      <w:bCs/>
      <w:sz w:val="38"/>
      <w:szCs w:val="38"/>
    </w:rPr>
  </w:style>
  <w:style w:type="paragraph" w:customStyle="1" w:styleId="Heading3">
    <w:name w:val="Heading #3"/>
    <w:basedOn w:val="Standarduser"/>
    <w:rsid w:val="003A45C3"/>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
    <w:name w:val="Обикн. параграф"/>
    <w:basedOn w:val="Standarduser"/>
    <w:rsid w:val="003A45C3"/>
    <w:pPr>
      <w:spacing w:before="120" w:line="360" w:lineRule="auto"/>
      <w:ind w:firstLine="720"/>
      <w:jc w:val="both"/>
    </w:pPr>
    <w:rPr>
      <w:rFonts w:ascii="Times New Roman" w:eastAsia="Times New Roman" w:hAnsi="Times New Roman" w:cs="Times New Roman"/>
      <w:szCs w:val="20"/>
    </w:rPr>
  </w:style>
  <w:style w:type="paragraph" w:customStyle="1" w:styleId="TableContents">
    <w:name w:val="Table Contents"/>
    <w:basedOn w:val="Standarduser"/>
    <w:rsid w:val="003A45C3"/>
    <w:pPr>
      <w:suppressLineNumbers/>
    </w:pPr>
  </w:style>
  <w:style w:type="paragraph" w:styleId="ListParagraph">
    <w:name w:val="List Paragraph"/>
    <w:basedOn w:val="Normal"/>
    <w:uiPriority w:val="1"/>
    <w:qFormat/>
    <w:rsid w:val="00BC2E0F"/>
    <w:pPr>
      <w:suppressAutoHyphens w:val="0"/>
      <w:autoSpaceDE w:val="0"/>
      <w:ind w:left="100" w:firstLine="581"/>
      <w:jc w:val="both"/>
      <w:textAlignment w:val="auto"/>
    </w:pPr>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B22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D0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C3"/>
    <w:pPr>
      <w:widowControl w:val="0"/>
      <w:suppressAutoHyphens/>
      <w:autoSpaceDN w:val="0"/>
      <w:spacing w:after="0" w:line="240" w:lineRule="auto"/>
      <w:textAlignment w:val="baseline"/>
    </w:pPr>
    <w:rPr>
      <w:rFonts w:ascii="Calibri" w:eastAsia="Calibri" w:hAnsi="Calibri" w:cs="DejaVu San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3A45C3"/>
    <w:pPr>
      <w:suppressAutoHyphens/>
      <w:autoSpaceDN w:val="0"/>
      <w:spacing w:after="0" w:line="240" w:lineRule="auto"/>
      <w:textAlignment w:val="baseline"/>
    </w:pPr>
    <w:rPr>
      <w:rFonts w:ascii="Liberation Serif" w:eastAsia="Noto Sans CJK SC" w:hAnsi="Liberation Serif" w:cs="Lohit Devanagari"/>
      <w:kern w:val="3"/>
      <w:sz w:val="24"/>
      <w:szCs w:val="24"/>
      <w:lang w:val="en-US" w:eastAsia="zh-CN" w:bidi="hi-IN"/>
    </w:rPr>
  </w:style>
  <w:style w:type="paragraph" w:customStyle="1" w:styleId="Heading1">
    <w:name w:val="Heading #1"/>
    <w:basedOn w:val="Standarduser"/>
    <w:rsid w:val="003A45C3"/>
    <w:pPr>
      <w:shd w:val="clear" w:color="auto" w:fill="FFFFFF"/>
      <w:spacing w:after="600" w:line="240" w:lineRule="atLeast"/>
      <w:outlineLvl w:val="0"/>
    </w:pPr>
    <w:rPr>
      <w:rFonts w:ascii="MS Reference Sans Serif" w:eastAsia="MS Reference Sans Serif" w:hAnsi="MS Reference Sans Serif" w:cs="MS Reference Sans Serif"/>
      <w:b/>
      <w:bCs/>
      <w:sz w:val="38"/>
      <w:szCs w:val="38"/>
    </w:rPr>
  </w:style>
  <w:style w:type="paragraph" w:customStyle="1" w:styleId="Heading3">
    <w:name w:val="Heading #3"/>
    <w:basedOn w:val="Standarduser"/>
    <w:rsid w:val="003A45C3"/>
    <w:pPr>
      <w:shd w:val="clear" w:color="auto" w:fill="FFFFFF"/>
      <w:spacing w:before="1080" w:line="235" w:lineRule="exact"/>
      <w:jc w:val="both"/>
      <w:outlineLvl w:val="2"/>
    </w:pPr>
    <w:rPr>
      <w:rFonts w:ascii="MS Reference Sans Serif" w:eastAsia="MS Reference Sans Serif" w:hAnsi="MS Reference Sans Serif" w:cs="MS Reference Sans Serif"/>
      <w:b/>
      <w:bCs/>
      <w:sz w:val="18"/>
      <w:szCs w:val="18"/>
    </w:rPr>
  </w:style>
  <w:style w:type="paragraph" w:customStyle="1" w:styleId="a">
    <w:name w:val="Обикн. параграф"/>
    <w:basedOn w:val="Standarduser"/>
    <w:rsid w:val="003A45C3"/>
    <w:pPr>
      <w:spacing w:before="120" w:line="360" w:lineRule="auto"/>
      <w:ind w:firstLine="720"/>
      <w:jc w:val="both"/>
    </w:pPr>
    <w:rPr>
      <w:rFonts w:ascii="Times New Roman" w:eastAsia="Times New Roman" w:hAnsi="Times New Roman" w:cs="Times New Roman"/>
      <w:szCs w:val="20"/>
    </w:rPr>
  </w:style>
  <w:style w:type="paragraph" w:customStyle="1" w:styleId="TableContents">
    <w:name w:val="Table Contents"/>
    <w:basedOn w:val="Standarduser"/>
    <w:rsid w:val="003A45C3"/>
    <w:pPr>
      <w:suppressLineNumbers/>
    </w:pPr>
  </w:style>
  <w:style w:type="paragraph" w:styleId="ListParagraph">
    <w:name w:val="List Paragraph"/>
    <w:basedOn w:val="Normal"/>
    <w:uiPriority w:val="1"/>
    <w:qFormat/>
    <w:rsid w:val="00BC2E0F"/>
    <w:pPr>
      <w:suppressAutoHyphens w:val="0"/>
      <w:autoSpaceDE w:val="0"/>
      <w:ind w:left="100" w:firstLine="581"/>
      <w:jc w:val="both"/>
      <w:textAlignment w:val="auto"/>
    </w:pPr>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B22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D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66359">
      <w:bodyDiv w:val="1"/>
      <w:marLeft w:val="0"/>
      <w:marRight w:val="0"/>
      <w:marTop w:val="0"/>
      <w:marBottom w:val="0"/>
      <w:divBdr>
        <w:top w:val="none" w:sz="0" w:space="0" w:color="auto"/>
        <w:left w:val="none" w:sz="0" w:space="0" w:color="auto"/>
        <w:bottom w:val="none" w:sz="0" w:space="0" w:color="auto"/>
        <w:right w:val="none" w:sz="0" w:space="0" w:color="auto"/>
      </w:divBdr>
    </w:div>
    <w:div w:id="303126723">
      <w:bodyDiv w:val="1"/>
      <w:marLeft w:val="0"/>
      <w:marRight w:val="0"/>
      <w:marTop w:val="0"/>
      <w:marBottom w:val="0"/>
      <w:divBdr>
        <w:top w:val="none" w:sz="0" w:space="0" w:color="auto"/>
        <w:left w:val="none" w:sz="0" w:space="0" w:color="auto"/>
        <w:bottom w:val="none" w:sz="0" w:space="0" w:color="auto"/>
        <w:right w:val="none" w:sz="0" w:space="0" w:color="auto"/>
      </w:divBdr>
    </w:div>
    <w:div w:id="656109352">
      <w:bodyDiv w:val="1"/>
      <w:marLeft w:val="0"/>
      <w:marRight w:val="0"/>
      <w:marTop w:val="0"/>
      <w:marBottom w:val="0"/>
      <w:divBdr>
        <w:top w:val="none" w:sz="0" w:space="0" w:color="auto"/>
        <w:left w:val="none" w:sz="0" w:space="0" w:color="auto"/>
        <w:bottom w:val="none" w:sz="0" w:space="0" w:color="auto"/>
        <w:right w:val="none" w:sz="0" w:space="0" w:color="auto"/>
      </w:divBdr>
    </w:div>
    <w:div w:id="830176759">
      <w:bodyDiv w:val="1"/>
      <w:marLeft w:val="0"/>
      <w:marRight w:val="0"/>
      <w:marTop w:val="0"/>
      <w:marBottom w:val="0"/>
      <w:divBdr>
        <w:top w:val="none" w:sz="0" w:space="0" w:color="auto"/>
        <w:left w:val="none" w:sz="0" w:space="0" w:color="auto"/>
        <w:bottom w:val="none" w:sz="0" w:space="0" w:color="auto"/>
        <w:right w:val="none" w:sz="0" w:space="0" w:color="auto"/>
      </w:divBdr>
    </w:div>
    <w:div w:id="850796980">
      <w:bodyDiv w:val="1"/>
      <w:marLeft w:val="0"/>
      <w:marRight w:val="0"/>
      <w:marTop w:val="0"/>
      <w:marBottom w:val="0"/>
      <w:divBdr>
        <w:top w:val="none" w:sz="0" w:space="0" w:color="auto"/>
        <w:left w:val="none" w:sz="0" w:space="0" w:color="auto"/>
        <w:bottom w:val="none" w:sz="0" w:space="0" w:color="auto"/>
        <w:right w:val="none" w:sz="0" w:space="0" w:color="auto"/>
      </w:divBdr>
    </w:div>
    <w:div w:id="1891068478">
      <w:bodyDiv w:val="1"/>
      <w:marLeft w:val="0"/>
      <w:marRight w:val="0"/>
      <w:marTop w:val="0"/>
      <w:marBottom w:val="0"/>
      <w:divBdr>
        <w:top w:val="none" w:sz="0" w:space="0" w:color="auto"/>
        <w:left w:val="none" w:sz="0" w:space="0" w:color="auto"/>
        <w:bottom w:val="none" w:sz="0" w:space="0" w:color="auto"/>
        <w:right w:val="none" w:sz="0" w:space="0" w:color="auto"/>
      </w:divBdr>
    </w:div>
    <w:div w:id="20260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1749</Words>
  <Characters>9972</Characters>
  <Application>Microsoft Office Word</Application>
  <DocSecurity>0</DocSecurity>
  <Lines>83</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Jar Computers</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 Sokolov</dc:creator>
  <cp:lastModifiedBy>Milena</cp:lastModifiedBy>
  <cp:revision>3</cp:revision>
  <cp:lastPrinted>2022-10-27T06:06:00Z</cp:lastPrinted>
  <dcterms:created xsi:type="dcterms:W3CDTF">2023-05-19T06:08:00Z</dcterms:created>
  <dcterms:modified xsi:type="dcterms:W3CDTF">2023-05-22T07:33:00Z</dcterms:modified>
</cp:coreProperties>
</file>